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p>
    <w:p>
      <w:pPr>
        <w:spacing w:before="158"/>
        <w:ind w:left="120" w:right="0" w:firstLine="0"/>
        <w:jc w:val="left"/>
        <w:rPr>
          <w:b/>
          <w:sz w:val="32"/>
        </w:rPr>
      </w:pPr>
      <w:r>
        <w:rPr/>
        <w:drawing>
          <wp:anchor distT="0" distB="0" distL="0" distR="0" allowOverlap="1" layoutInCell="1" locked="0" behindDoc="0" simplePos="0" relativeHeight="0">
            <wp:simplePos x="0" y="0"/>
            <wp:positionH relativeFrom="page">
              <wp:posOffset>6123942</wp:posOffset>
            </wp:positionH>
            <wp:positionV relativeFrom="paragraph">
              <wp:posOffset>-145114</wp:posOffset>
            </wp:positionV>
            <wp:extent cx="979802" cy="771524"/>
            <wp:effectExtent l="0" t="0" r="0" b="0"/>
            <wp:wrapNone/>
            <wp:docPr id="1" name="image1.png" descr="A close up of a sign  Description automatically generated "/>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79802" cy="771524"/>
                    </a:xfrm>
                    <a:prstGeom prst="rect">
                      <a:avLst/>
                    </a:prstGeom>
                  </pic:spPr>
                </pic:pic>
              </a:graphicData>
            </a:graphic>
          </wp:anchor>
        </w:drawing>
      </w:r>
      <w:r>
        <w:rPr>
          <w:b/>
          <w:sz w:val="32"/>
        </w:rPr>
        <w:t>Lake Lothing Third Crossing Key Stakeholder Group Agenda</w:t>
      </w:r>
    </w:p>
    <w:p>
      <w:pPr>
        <w:spacing w:before="2"/>
        <w:ind w:left="120" w:right="0" w:firstLine="0"/>
        <w:jc w:val="left"/>
        <w:rPr>
          <w:b/>
          <w:sz w:val="28"/>
        </w:rPr>
      </w:pPr>
      <w:r>
        <w:rPr>
          <w:b/>
          <w:sz w:val="28"/>
        </w:rPr>
        <w:t>Friday 12</w:t>
      </w:r>
      <w:r>
        <w:rPr>
          <w:b/>
          <w:position w:val="9"/>
          <w:sz w:val="18"/>
        </w:rPr>
        <w:t>th </w:t>
      </w:r>
      <w:r>
        <w:rPr>
          <w:b/>
          <w:sz w:val="28"/>
        </w:rPr>
        <w:t>June 2020, 13:30-15:00| Microsoft Teams</w:t>
      </w:r>
    </w:p>
    <w:p>
      <w:pPr>
        <w:spacing w:line="240" w:lineRule="auto" w:before="2" w:after="1"/>
        <w:rPr>
          <w:b/>
          <w:sz w:val="22"/>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32"/>
        <w:gridCol w:w="5227"/>
      </w:tblGrid>
      <w:tr>
        <w:trPr>
          <w:trHeight w:val="364" w:hRule="atLeast"/>
        </w:trPr>
        <w:tc>
          <w:tcPr>
            <w:tcW w:w="5232" w:type="dxa"/>
            <w:shd w:val="clear" w:color="auto" w:fill="D9D9D9"/>
          </w:tcPr>
          <w:p>
            <w:pPr>
              <w:pStyle w:val="TableParagraph"/>
              <w:spacing w:before="1"/>
              <w:ind w:left="110"/>
              <w:rPr>
                <w:b/>
                <w:sz w:val="20"/>
              </w:rPr>
            </w:pPr>
            <w:r>
              <w:rPr>
                <w:b/>
                <w:sz w:val="20"/>
              </w:rPr>
              <w:t>Attendees</w:t>
            </w:r>
          </w:p>
        </w:tc>
        <w:tc>
          <w:tcPr>
            <w:tcW w:w="5227" w:type="dxa"/>
            <w:shd w:val="clear" w:color="auto" w:fill="D9D9D9"/>
          </w:tcPr>
          <w:p>
            <w:pPr>
              <w:pStyle w:val="TableParagraph"/>
              <w:spacing w:before="1"/>
              <w:ind w:left="105"/>
              <w:rPr>
                <w:b/>
                <w:sz w:val="20"/>
              </w:rPr>
            </w:pPr>
            <w:r>
              <w:rPr>
                <w:b/>
                <w:sz w:val="20"/>
              </w:rPr>
              <w:t>Apologies</w:t>
            </w:r>
          </w:p>
        </w:tc>
      </w:tr>
      <w:tr>
        <w:trPr>
          <w:trHeight w:val="6105" w:hRule="atLeast"/>
        </w:trPr>
        <w:tc>
          <w:tcPr>
            <w:tcW w:w="5232" w:type="dxa"/>
          </w:tcPr>
          <w:p>
            <w:pPr>
              <w:pStyle w:val="TableParagraph"/>
              <w:spacing w:before="1"/>
              <w:ind w:left="110" w:right="1901"/>
              <w:rPr>
                <w:sz w:val="20"/>
              </w:rPr>
            </w:pPr>
            <w:r>
              <w:rPr>
                <w:b/>
                <w:sz w:val="20"/>
              </w:rPr>
              <w:t>Peter Aldous</w:t>
            </w:r>
            <w:r>
              <w:rPr>
                <w:sz w:val="20"/>
              </w:rPr>
              <w:t>, MP for Waveney (Chair) </w:t>
            </w:r>
            <w:r>
              <w:rPr>
                <w:b/>
                <w:sz w:val="20"/>
              </w:rPr>
              <w:t>Andrew Pearce, </w:t>
            </w:r>
            <w:r>
              <w:rPr>
                <w:sz w:val="20"/>
              </w:rPr>
              <w:t>Suffolk County Council </w:t>
            </w:r>
            <w:r>
              <w:rPr>
                <w:b/>
                <w:sz w:val="20"/>
              </w:rPr>
              <w:t>Bryn Griffiths, </w:t>
            </w:r>
            <w:r>
              <w:rPr>
                <w:sz w:val="20"/>
              </w:rPr>
              <w:t>Suffolk County Council</w:t>
            </w:r>
          </w:p>
          <w:p>
            <w:pPr>
              <w:pStyle w:val="TableParagraph"/>
              <w:spacing w:line="241" w:lineRule="exact"/>
              <w:ind w:left="110"/>
              <w:rPr>
                <w:sz w:val="20"/>
              </w:rPr>
            </w:pPr>
            <w:r>
              <w:rPr>
                <w:b/>
                <w:sz w:val="20"/>
              </w:rPr>
              <w:t>Cllr Amanda Frost</w:t>
            </w:r>
            <w:r>
              <w:rPr>
                <w:sz w:val="20"/>
              </w:rPr>
              <w:t>, Lowestoft Town Council</w:t>
            </w:r>
          </w:p>
          <w:p>
            <w:pPr>
              <w:pStyle w:val="TableParagraph"/>
              <w:spacing w:before="1"/>
              <w:ind w:left="110" w:right="826"/>
              <w:rPr>
                <w:sz w:val="20"/>
              </w:rPr>
            </w:pPr>
            <w:r>
              <w:rPr>
                <w:b/>
                <w:sz w:val="20"/>
              </w:rPr>
              <w:t>Jennifer Cushion</w:t>
            </w:r>
            <w:r>
              <w:rPr>
                <w:sz w:val="20"/>
              </w:rPr>
              <w:t>, Lowestoft &amp; Waveney Chamber of Commerce</w:t>
            </w:r>
          </w:p>
          <w:p>
            <w:pPr>
              <w:pStyle w:val="TableParagraph"/>
              <w:spacing w:before="1"/>
              <w:ind w:left="110" w:right="1663"/>
              <w:rPr>
                <w:sz w:val="20"/>
              </w:rPr>
            </w:pPr>
            <w:r>
              <w:rPr>
                <w:b/>
                <w:sz w:val="20"/>
              </w:rPr>
              <w:t>Christos Galanopoulos</w:t>
            </w:r>
            <w:r>
              <w:rPr>
                <w:sz w:val="20"/>
              </w:rPr>
              <w:t>, Highways England </w:t>
            </w:r>
            <w:r>
              <w:rPr>
                <w:b/>
                <w:sz w:val="20"/>
              </w:rPr>
              <w:t>Cllr Craig Rivett</w:t>
            </w:r>
            <w:r>
              <w:rPr>
                <w:sz w:val="20"/>
              </w:rPr>
              <w:t>, East Suffolk Council </w:t>
            </w:r>
            <w:r>
              <w:rPr>
                <w:b/>
                <w:sz w:val="20"/>
              </w:rPr>
              <w:t>Katherine Potts</w:t>
            </w:r>
            <w:r>
              <w:rPr>
                <w:sz w:val="20"/>
              </w:rPr>
              <w:t>, Suffolk County Council </w:t>
            </w:r>
            <w:r>
              <w:rPr>
                <w:b/>
                <w:sz w:val="20"/>
              </w:rPr>
              <w:t>Desi Reed</w:t>
            </w:r>
            <w:r>
              <w:rPr>
                <w:sz w:val="20"/>
              </w:rPr>
              <w:t>, East Suffolk Council</w:t>
            </w:r>
          </w:p>
          <w:p>
            <w:pPr>
              <w:pStyle w:val="TableParagraph"/>
              <w:spacing w:line="242" w:lineRule="exact"/>
              <w:ind w:left="110"/>
              <w:rPr>
                <w:sz w:val="20"/>
              </w:rPr>
            </w:pPr>
            <w:r>
              <w:rPr>
                <w:b/>
                <w:sz w:val="20"/>
              </w:rPr>
              <w:t>Kate Ellis</w:t>
            </w:r>
            <w:r>
              <w:rPr>
                <w:sz w:val="20"/>
              </w:rPr>
              <w:t>, East Suffolk Council</w:t>
            </w:r>
          </w:p>
          <w:p>
            <w:pPr>
              <w:pStyle w:val="TableParagraph"/>
              <w:spacing w:before="1"/>
              <w:ind w:left="110"/>
              <w:rPr>
                <w:sz w:val="20"/>
              </w:rPr>
            </w:pPr>
            <w:r>
              <w:rPr>
                <w:b/>
                <w:sz w:val="20"/>
              </w:rPr>
              <w:t>Cllr Norman Brooks</w:t>
            </w:r>
            <w:r>
              <w:rPr>
                <w:sz w:val="20"/>
              </w:rPr>
              <w:t>, East Suffolk Council</w:t>
            </w:r>
          </w:p>
          <w:p>
            <w:pPr>
              <w:pStyle w:val="TableParagraph"/>
              <w:ind w:left="110"/>
              <w:rPr>
                <w:sz w:val="20"/>
              </w:rPr>
            </w:pPr>
            <w:r>
              <w:rPr>
                <w:b/>
                <w:sz w:val="20"/>
              </w:rPr>
              <w:t>Paul Wood</w:t>
            </w:r>
            <w:r>
              <w:rPr>
                <w:sz w:val="20"/>
              </w:rPr>
              <w:t>, East Suffolk Council</w:t>
            </w:r>
          </w:p>
          <w:p>
            <w:pPr>
              <w:pStyle w:val="TableParagraph"/>
              <w:spacing w:before="1"/>
              <w:ind w:left="110"/>
              <w:rPr>
                <w:sz w:val="20"/>
              </w:rPr>
            </w:pPr>
            <w:r>
              <w:rPr>
                <w:b/>
                <w:sz w:val="20"/>
              </w:rPr>
              <w:t>Andy Jarvis</w:t>
            </w:r>
            <w:r>
              <w:rPr>
                <w:sz w:val="20"/>
              </w:rPr>
              <w:t>, East Suffolk Council</w:t>
            </w:r>
          </w:p>
          <w:p>
            <w:pPr>
              <w:pStyle w:val="TableParagraph"/>
              <w:spacing w:before="1"/>
              <w:ind w:left="110"/>
              <w:rPr>
                <w:sz w:val="20"/>
              </w:rPr>
            </w:pPr>
            <w:r>
              <w:rPr>
                <w:b/>
                <w:sz w:val="20"/>
              </w:rPr>
              <w:t>Richard Perkins</w:t>
            </w:r>
            <w:r>
              <w:rPr>
                <w:sz w:val="20"/>
              </w:rPr>
              <w:t>, Suffolk Chamber of Commerce</w:t>
            </w:r>
          </w:p>
          <w:p>
            <w:pPr>
              <w:pStyle w:val="TableParagraph"/>
              <w:ind w:left="110"/>
              <w:rPr>
                <w:sz w:val="20"/>
              </w:rPr>
            </w:pPr>
            <w:r>
              <w:rPr>
                <w:b/>
                <w:sz w:val="20"/>
              </w:rPr>
              <w:t>Philip Ridley</w:t>
            </w:r>
            <w:r>
              <w:rPr>
                <w:sz w:val="20"/>
              </w:rPr>
              <w:t>, East Suffolk Council</w:t>
            </w:r>
          </w:p>
          <w:p>
            <w:pPr>
              <w:pStyle w:val="TableParagraph"/>
              <w:spacing w:before="1"/>
              <w:ind w:left="110" w:right="1612"/>
              <w:rPr>
                <w:sz w:val="20"/>
              </w:rPr>
            </w:pPr>
            <w:r>
              <w:rPr>
                <w:b/>
                <w:sz w:val="20"/>
              </w:rPr>
              <w:t>Cllr Matthew Hicks</w:t>
            </w:r>
            <w:r>
              <w:rPr>
                <w:sz w:val="20"/>
              </w:rPr>
              <w:t>, Suffolk County Council </w:t>
            </w:r>
            <w:r>
              <w:rPr>
                <w:b/>
                <w:sz w:val="20"/>
              </w:rPr>
              <w:t>Cllr Alison Cackett</w:t>
            </w:r>
            <w:r>
              <w:rPr>
                <w:sz w:val="20"/>
              </w:rPr>
              <w:t>, East Suffolk Council </w:t>
            </w:r>
            <w:r>
              <w:rPr>
                <w:b/>
                <w:sz w:val="20"/>
              </w:rPr>
              <w:t>Cllr Peter Byatt</w:t>
            </w:r>
            <w:r>
              <w:rPr>
                <w:sz w:val="20"/>
              </w:rPr>
              <w:t>, East Suffolk Council </w:t>
            </w:r>
            <w:r>
              <w:rPr>
                <w:b/>
                <w:sz w:val="20"/>
              </w:rPr>
              <w:t>Carolyn Barnes</w:t>
            </w:r>
            <w:r>
              <w:rPr>
                <w:sz w:val="20"/>
              </w:rPr>
              <w:t>, East Suffolk</w:t>
            </w:r>
            <w:r>
              <w:rPr>
                <w:spacing w:val="-8"/>
                <w:sz w:val="20"/>
              </w:rPr>
              <w:t> </w:t>
            </w:r>
            <w:r>
              <w:rPr>
                <w:sz w:val="20"/>
              </w:rPr>
              <w:t>Council</w:t>
            </w:r>
          </w:p>
          <w:p>
            <w:pPr>
              <w:pStyle w:val="TableParagraph"/>
              <w:ind w:left="110" w:right="1474"/>
              <w:rPr>
                <w:sz w:val="20"/>
              </w:rPr>
            </w:pPr>
            <w:r>
              <w:rPr>
                <w:b/>
                <w:sz w:val="20"/>
              </w:rPr>
              <w:t>Cllr James Reeder</w:t>
            </w:r>
            <w:r>
              <w:rPr>
                <w:sz w:val="20"/>
              </w:rPr>
              <w:t>, Suffolk County Council </w:t>
            </w:r>
            <w:r>
              <w:rPr>
                <w:b/>
                <w:sz w:val="20"/>
              </w:rPr>
              <w:t>Warren Hoskins-Davies, </w:t>
            </w:r>
            <w:r>
              <w:rPr>
                <w:sz w:val="20"/>
              </w:rPr>
              <w:t>East Suffolk Council </w:t>
            </w:r>
            <w:r>
              <w:rPr>
                <w:b/>
                <w:sz w:val="20"/>
              </w:rPr>
              <w:t>Tamzen Pope, </w:t>
            </w:r>
            <w:r>
              <w:rPr>
                <w:sz w:val="20"/>
              </w:rPr>
              <w:t>East Suffolk Council</w:t>
            </w:r>
          </w:p>
          <w:p>
            <w:pPr>
              <w:pStyle w:val="TableParagraph"/>
              <w:ind w:left="110"/>
              <w:rPr>
                <w:sz w:val="20"/>
              </w:rPr>
            </w:pPr>
            <w:r>
              <w:rPr>
                <w:b/>
                <w:sz w:val="20"/>
              </w:rPr>
              <w:t>Sue Meekin, </w:t>
            </w:r>
            <w:r>
              <w:rPr>
                <w:sz w:val="20"/>
              </w:rPr>
              <w:t>East Suffolk Council</w:t>
            </w:r>
          </w:p>
          <w:p>
            <w:pPr>
              <w:pStyle w:val="TableParagraph"/>
              <w:spacing w:line="223" w:lineRule="exact"/>
              <w:ind w:left="110"/>
              <w:rPr>
                <w:sz w:val="20"/>
              </w:rPr>
            </w:pPr>
            <w:r>
              <w:rPr>
                <w:b/>
                <w:sz w:val="20"/>
              </w:rPr>
              <w:t>Tom Duit, </w:t>
            </w:r>
            <w:r>
              <w:rPr>
                <w:sz w:val="20"/>
              </w:rPr>
              <w:t>Associated British Ports</w:t>
            </w:r>
          </w:p>
        </w:tc>
        <w:tc>
          <w:tcPr>
            <w:tcW w:w="5227" w:type="dxa"/>
          </w:tcPr>
          <w:p>
            <w:pPr>
              <w:pStyle w:val="TableParagraph"/>
              <w:spacing w:before="1"/>
              <w:ind w:left="105"/>
              <w:rPr>
                <w:sz w:val="20"/>
              </w:rPr>
            </w:pPr>
            <w:r>
              <w:rPr>
                <w:b/>
                <w:sz w:val="20"/>
              </w:rPr>
              <w:t>Chris Starkie</w:t>
            </w:r>
            <w:r>
              <w:rPr>
                <w:sz w:val="20"/>
              </w:rPr>
              <w:t>, New Anglia Local Enterprise Partnership</w:t>
            </w:r>
          </w:p>
          <w:p>
            <w:pPr>
              <w:pStyle w:val="TableParagraph"/>
              <w:spacing w:before="1"/>
              <w:ind w:left="105"/>
              <w:rPr>
                <w:sz w:val="20"/>
              </w:rPr>
            </w:pPr>
            <w:r>
              <w:rPr>
                <w:b/>
                <w:sz w:val="20"/>
              </w:rPr>
              <w:t>Sharon Bleese</w:t>
            </w:r>
            <w:r>
              <w:rPr>
                <w:sz w:val="20"/>
              </w:rPr>
              <w:t>, East Suffolk Council</w:t>
            </w:r>
          </w:p>
          <w:p>
            <w:pPr>
              <w:pStyle w:val="TableParagraph"/>
              <w:spacing w:line="242" w:lineRule="exact"/>
              <w:ind w:left="105"/>
              <w:rPr>
                <w:sz w:val="20"/>
              </w:rPr>
            </w:pPr>
            <w:r>
              <w:rPr>
                <w:b/>
                <w:sz w:val="20"/>
              </w:rPr>
              <w:t>Paul Ager</w:t>
            </w:r>
            <w:r>
              <w:rPr>
                <w:sz w:val="20"/>
              </w:rPr>
              <w:t>, Associated British Ports</w:t>
            </w:r>
          </w:p>
          <w:p>
            <w:pPr>
              <w:pStyle w:val="TableParagraph"/>
              <w:spacing w:line="242" w:lineRule="exact"/>
              <w:ind w:left="105"/>
              <w:rPr>
                <w:sz w:val="20"/>
              </w:rPr>
            </w:pPr>
            <w:r>
              <w:rPr>
                <w:b/>
                <w:sz w:val="20"/>
              </w:rPr>
              <w:t>Jon Barnard</w:t>
            </w:r>
            <w:r>
              <w:rPr>
                <w:sz w:val="20"/>
              </w:rPr>
              <w:t>, Project Management Consultant</w:t>
            </w:r>
          </w:p>
          <w:p>
            <w:pPr>
              <w:pStyle w:val="TableParagraph"/>
              <w:spacing w:before="1"/>
              <w:ind w:left="105" w:right="2233"/>
              <w:rPr>
                <w:sz w:val="20"/>
              </w:rPr>
            </w:pPr>
            <w:r>
              <w:rPr>
                <w:b/>
                <w:sz w:val="20"/>
              </w:rPr>
              <w:t>Gary Bellward</w:t>
            </w:r>
            <w:r>
              <w:rPr>
                <w:sz w:val="20"/>
              </w:rPr>
              <w:t>, East Suffolk Council </w:t>
            </w:r>
            <w:r>
              <w:rPr>
                <w:b/>
                <w:sz w:val="20"/>
              </w:rPr>
              <w:t>Paul Mackie</w:t>
            </w:r>
            <w:r>
              <w:rPr>
                <w:sz w:val="20"/>
              </w:rPr>
              <w:t>, East Suffolk Council </w:t>
            </w:r>
            <w:r>
              <w:rPr>
                <w:b/>
                <w:sz w:val="20"/>
              </w:rPr>
              <w:t>James Bradley</w:t>
            </w:r>
            <w:r>
              <w:rPr>
                <w:sz w:val="20"/>
              </w:rPr>
              <w:t>, Network Rail</w:t>
            </w:r>
          </w:p>
          <w:p>
            <w:pPr>
              <w:pStyle w:val="TableParagraph"/>
              <w:spacing w:before="2"/>
              <w:ind w:left="105"/>
              <w:rPr>
                <w:sz w:val="20"/>
              </w:rPr>
            </w:pPr>
            <w:r>
              <w:rPr>
                <w:b/>
                <w:sz w:val="20"/>
              </w:rPr>
              <w:t>Matt Brennan</w:t>
            </w:r>
            <w:r>
              <w:rPr>
                <w:sz w:val="20"/>
              </w:rPr>
              <w:t>, Network Rail</w:t>
            </w:r>
          </w:p>
          <w:p>
            <w:pPr>
              <w:pStyle w:val="TableParagraph"/>
              <w:spacing w:before="1"/>
              <w:ind w:left="105"/>
              <w:rPr>
                <w:sz w:val="20"/>
              </w:rPr>
            </w:pPr>
            <w:r>
              <w:rPr>
                <w:b/>
                <w:sz w:val="20"/>
              </w:rPr>
              <w:t>Cllr Sandra Keller</w:t>
            </w:r>
            <w:r>
              <w:rPr>
                <w:sz w:val="20"/>
              </w:rPr>
              <w:t>, Oulton Broad Parish Council</w:t>
            </w:r>
          </w:p>
          <w:p>
            <w:pPr>
              <w:pStyle w:val="TableParagraph"/>
              <w:spacing w:line="242" w:lineRule="exact"/>
              <w:ind w:left="105"/>
              <w:rPr>
                <w:sz w:val="20"/>
              </w:rPr>
            </w:pPr>
            <w:r>
              <w:rPr>
                <w:b/>
                <w:sz w:val="20"/>
              </w:rPr>
              <w:t>Mark Ash</w:t>
            </w:r>
            <w:r>
              <w:rPr>
                <w:sz w:val="20"/>
              </w:rPr>
              <w:t>, Suffolk County Council</w:t>
            </w:r>
          </w:p>
          <w:p>
            <w:pPr>
              <w:pStyle w:val="TableParagraph"/>
              <w:spacing w:line="242" w:lineRule="exact"/>
              <w:ind w:left="105"/>
              <w:rPr>
                <w:sz w:val="20"/>
              </w:rPr>
            </w:pPr>
            <w:r>
              <w:rPr>
                <w:b/>
                <w:sz w:val="20"/>
              </w:rPr>
              <w:t>Cllr Mark Bee</w:t>
            </w:r>
            <w:r>
              <w:rPr>
                <w:sz w:val="20"/>
              </w:rPr>
              <w:t>, Suffolk County Council</w:t>
            </w:r>
          </w:p>
          <w:p>
            <w:pPr>
              <w:pStyle w:val="TableParagraph"/>
              <w:spacing w:before="1"/>
              <w:ind w:left="105"/>
              <w:rPr>
                <w:sz w:val="20"/>
              </w:rPr>
            </w:pPr>
            <w:r>
              <w:rPr>
                <w:b/>
                <w:sz w:val="20"/>
              </w:rPr>
              <w:t>Michael Wilks</w:t>
            </w:r>
            <w:r>
              <w:rPr>
                <w:sz w:val="20"/>
              </w:rPr>
              <w:t>, Suffolk County Council</w:t>
            </w:r>
          </w:p>
        </w:tc>
      </w:tr>
    </w:tbl>
    <w:p>
      <w:pPr>
        <w:spacing w:line="240" w:lineRule="auto" w:before="0" w:after="0"/>
        <w:rPr>
          <w:b/>
          <w:sz w:val="22"/>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
        <w:gridCol w:w="8928"/>
        <w:gridCol w:w="1109"/>
      </w:tblGrid>
      <w:tr>
        <w:trPr>
          <w:trHeight w:val="268" w:hRule="atLeast"/>
        </w:trPr>
        <w:tc>
          <w:tcPr>
            <w:tcW w:w="422" w:type="dxa"/>
            <w:shd w:val="clear" w:color="auto" w:fill="D9D9D9"/>
          </w:tcPr>
          <w:p>
            <w:pPr>
              <w:pStyle w:val="TableParagraph"/>
              <w:rPr>
                <w:rFonts w:ascii="Times New Roman"/>
                <w:sz w:val="18"/>
              </w:rPr>
            </w:pPr>
          </w:p>
        </w:tc>
        <w:tc>
          <w:tcPr>
            <w:tcW w:w="8928" w:type="dxa"/>
            <w:shd w:val="clear" w:color="auto" w:fill="D9D9D9"/>
          </w:tcPr>
          <w:p>
            <w:pPr>
              <w:pStyle w:val="TableParagraph"/>
              <w:spacing w:line="247" w:lineRule="exact" w:before="1"/>
              <w:ind w:left="105"/>
              <w:rPr>
                <w:b/>
                <w:sz w:val="22"/>
              </w:rPr>
            </w:pPr>
            <w:r>
              <w:rPr>
                <w:b/>
                <w:sz w:val="22"/>
              </w:rPr>
              <w:t>Description</w:t>
            </w:r>
          </w:p>
        </w:tc>
        <w:tc>
          <w:tcPr>
            <w:tcW w:w="1109" w:type="dxa"/>
            <w:shd w:val="clear" w:color="auto" w:fill="D9D9D9"/>
          </w:tcPr>
          <w:p>
            <w:pPr>
              <w:pStyle w:val="TableParagraph"/>
              <w:spacing w:line="247" w:lineRule="exact" w:before="1"/>
              <w:ind w:left="110"/>
              <w:rPr>
                <w:b/>
                <w:sz w:val="22"/>
              </w:rPr>
            </w:pPr>
            <w:r>
              <w:rPr>
                <w:b/>
                <w:sz w:val="22"/>
              </w:rPr>
              <w:t>Lead</w:t>
            </w:r>
          </w:p>
        </w:tc>
      </w:tr>
      <w:tr>
        <w:trPr>
          <w:trHeight w:val="806" w:hRule="atLeast"/>
        </w:trPr>
        <w:tc>
          <w:tcPr>
            <w:tcW w:w="422" w:type="dxa"/>
          </w:tcPr>
          <w:p>
            <w:pPr>
              <w:pStyle w:val="TableParagraph"/>
              <w:spacing w:before="1"/>
              <w:rPr>
                <w:b/>
                <w:sz w:val="22"/>
              </w:rPr>
            </w:pPr>
          </w:p>
          <w:p>
            <w:pPr>
              <w:pStyle w:val="TableParagraph"/>
              <w:ind w:left="110"/>
              <w:rPr>
                <w:sz w:val="22"/>
              </w:rPr>
            </w:pPr>
            <w:r>
              <w:rPr>
                <w:w w:val="100"/>
                <w:sz w:val="22"/>
              </w:rPr>
              <w:t>1</w:t>
            </w:r>
          </w:p>
        </w:tc>
        <w:tc>
          <w:tcPr>
            <w:tcW w:w="8928" w:type="dxa"/>
          </w:tcPr>
          <w:p>
            <w:pPr>
              <w:pStyle w:val="TableParagraph"/>
              <w:spacing w:before="136"/>
              <w:ind w:left="105"/>
              <w:rPr>
                <w:b/>
                <w:sz w:val="22"/>
              </w:rPr>
            </w:pPr>
            <w:r>
              <w:rPr>
                <w:b/>
                <w:sz w:val="22"/>
              </w:rPr>
              <w:t>Welcome, apologies &amp; introductions</w:t>
            </w:r>
          </w:p>
          <w:p>
            <w:pPr>
              <w:pStyle w:val="TableParagraph"/>
              <w:ind w:left="105"/>
              <w:rPr>
                <w:sz w:val="22"/>
              </w:rPr>
            </w:pPr>
            <w:r>
              <w:rPr>
                <w:sz w:val="22"/>
              </w:rPr>
              <w:t>Housekeeping for virtual meeting completed by Katherine Potts.</w:t>
            </w:r>
          </w:p>
        </w:tc>
        <w:tc>
          <w:tcPr>
            <w:tcW w:w="1109" w:type="dxa"/>
          </w:tcPr>
          <w:p>
            <w:pPr>
              <w:pStyle w:val="TableParagraph"/>
              <w:spacing w:line="270" w:lineRule="atLeast"/>
              <w:ind w:left="110" w:right="357"/>
              <w:rPr>
                <w:sz w:val="22"/>
              </w:rPr>
            </w:pPr>
            <w:r>
              <w:rPr>
                <w:sz w:val="22"/>
              </w:rPr>
              <w:t>Peter Aldous MP</w:t>
            </w:r>
          </w:p>
        </w:tc>
      </w:tr>
      <w:tr>
        <w:trPr>
          <w:trHeight w:val="2141" w:hRule="atLeast"/>
        </w:trPr>
        <w:tc>
          <w:tcPr>
            <w:tcW w:w="422" w:type="dxa"/>
          </w:tcPr>
          <w:p>
            <w:pPr>
              <w:pStyle w:val="TableParagraph"/>
              <w:rPr>
                <w:b/>
                <w:sz w:val="22"/>
              </w:rPr>
            </w:pPr>
          </w:p>
          <w:p>
            <w:pPr>
              <w:pStyle w:val="TableParagraph"/>
              <w:rPr>
                <w:b/>
                <w:sz w:val="22"/>
              </w:rPr>
            </w:pPr>
          </w:p>
          <w:p>
            <w:pPr>
              <w:pStyle w:val="TableParagraph"/>
              <w:spacing w:before="5"/>
              <w:rPr>
                <w:b/>
                <w:sz w:val="32"/>
              </w:rPr>
            </w:pPr>
          </w:p>
          <w:p>
            <w:pPr>
              <w:pStyle w:val="TableParagraph"/>
              <w:spacing w:before="1"/>
              <w:ind w:left="110"/>
              <w:rPr>
                <w:sz w:val="22"/>
              </w:rPr>
            </w:pPr>
            <w:r>
              <w:rPr>
                <w:w w:val="100"/>
                <w:sz w:val="22"/>
              </w:rPr>
              <w:t>2</w:t>
            </w:r>
          </w:p>
        </w:tc>
        <w:tc>
          <w:tcPr>
            <w:tcW w:w="8928" w:type="dxa"/>
          </w:tcPr>
          <w:p>
            <w:pPr>
              <w:pStyle w:val="TableParagraph"/>
              <w:spacing w:line="266" w:lineRule="exact"/>
              <w:ind w:left="105"/>
              <w:rPr>
                <w:b/>
                <w:sz w:val="22"/>
              </w:rPr>
            </w:pPr>
            <w:r>
              <w:rPr>
                <w:b/>
                <w:sz w:val="22"/>
              </w:rPr>
              <w:t>Political Update</w:t>
            </w:r>
          </w:p>
          <w:p>
            <w:pPr>
              <w:pStyle w:val="TableParagraph"/>
              <w:spacing w:line="237" w:lineRule="auto" w:before="2"/>
              <w:ind w:left="105"/>
              <w:rPr>
                <w:sz w:val="22"/>
              </w:rPr>
            </w:pPr>
            <w:r>
              <w:rPr>
                <w:sz w:val="22"/>
              </w:rPr>
              <w:t>There has been concern about the future for infrastructure with the economic downturn. However, infrastructure projects are viewed by Government as important for kickstarting regeneration and the economy. There are a lot of people looking at Lowestoft, and this project is being viewed as the project to help rebuild the local economy.</w:t>
            </w:r>
          </w:p>
          <w:p>
            <w:pPr>
              <w:pStyle w:val="TableParagraph"/>
              <w:spacing w:before="3"/>
              <w:rPr>
                <w:b/>
                <w:sz w:val="22"/>
              </w:rPr>
            </w:pPr>
          </w:p>
          <w:p>
            <w:pPr>
              <w:pStyle w:val="TableParagraph"/>
              <w:spacing w:line="270" w:lineRule="atLeast" w:before="1"/>
              <w:ind w:left="105"/>
              <w:rPr>
                <w:sz w:val="22"/>
              </w:rPr>
            </w:pPr>
            <w:r>
              <w:rPr>
                <w:sz w:val="22"/>
              </w:rPr>
              <w:t>We are aware that it took a while to get the planning consent, having initially been due on 5</w:t>
            </w:r>
            <w:r>
              <w:rPr>
                <w:sz w:val="22"/>
                <w:vertAlign w:val="superscript"/>
              </w:rPr>
              <w:t>th</w:t>
            </w:r>
            <w:r>
              <w:rPr>
                <w:sz w:val="22"/>
                <w:vertAlign w:val="baseline"/>
              </w:rPr>
              <w:t> December, delayed by the general election, but was instead granted in April.</w:t>
            </w:r>
          </w:p>
        </w:tc>
        <w:tc>
          <w:tcPr>
            <w:tcW w:w="1109" w:type="dxa"/>
          </w:tcPr>
          <w:p>
            <w:pPr>
              <w:pStyle w:val="TableParagraph"/>
              <w:rPr>
                <w:b/>
                <w:sz w:val="22"/>
              </w:rPr>
            </w:pPr>
          </w:p>
          <w:p>
            <w:pPr>
              <w:pStyle w:val="TableParagraph"/>
              <w:rPr>
                <w:b/>
                <w:sz w:val="22"/>
              </w:rPr>
            </w:pPr>
          </w:p>
          <w:p>
            <w:pPr>
              <w:pStyle w:val="TableParagraph"/>
              <w:spacing w:line="237" w:lineRule="auto" w:before="134"/>
              <w:ind w:left="110" w:right="357"/>
              <w:rPr>
                <w:sz w:val="22"/>
              </w:rPr>
            </w:pPr>
            <w:r>
              <w:rPr>
                <w:sz w:val="22"/>
              </w:rPr>
              <w:t>Peter Aldous MP</w:t>
            </w:r>
          </w:p>
        </w:tc>
      </w:tr>
      <w:tr>
        <w:trPr>
          <w:trHeight w:val="3491" w:hRule="atLeast"/>
        </w:trPr>
        <w:tc>
          <w:tcPr>
            <w:tcW w:w="42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ind w:left="110"/>
              <w:rPr>
                <w:sz w:val="22"/>
              </w:rPr>
            </w:pPr>
            <w:r>
              <w:rPr>
                <w:w w:val="100"/>
                <w:sz w:val="22"/>
              </w:rPr>
              <w:t>3</w:t>
            </w:r>
          </w:p>
        </w:tc>
        <w:tc>
          <w:tcPr>
            <w:tcW w:w="8928" w:type="dxa"/>
          </w:tcPr>
          <w:p>
            <w:pPr>
              <w:pStyle w:val="TableParagraph"/>
              <w:spacing w:line="267" w:lineRule="exact"/>
              <w:ind w:left="105"/>
              <w:rPr>
                <w:b/>
                <w:sz w:val="22"/>
              </w:rPr>
            </w:pPr>
            <w:r>
              <w:rPr>
                <w:b/>
                <w:sz w:val="22"/>
              </w:rPr>
              <w:t>Project Progress Update</w:t>
            </w:r>
          </w:p>
          <w:p>
            <w:pPr>
              <w:pStyle w:val="TableParagraph"/>
              <w:ind w:left="105" w:right="252"/>
              <w:rPr>
                <w:sz w:val="22"/>
              </w:rPr>
            </w:pPr>
            <w:r>
              <w:rPr>
                <w:sz w:val="22"/>
              </w:rPr>
              <w:t>There have been a number of developments since our last meeting. Following a 5-month delay, the DCO finally confirmed approval of the third crossing on 30 April 2020. We were confident that we would get permission, but there were concerns that there would be issues that we may encounter. The procurement process to find the construction contractor has commenced, and we have already received tenders. Due to commercial sensitivity, we cannot disclose who has tendered, but these are currently being evaluated.</w:t>
            </w:r>
          </w:p>
          <w:p>
            <w:pPr>
              <w:pStyle w:val="TableParagraph"/>
              <w:spacing w:before="1"/>
              <w:rPr>
                <w:b/>
                <w:sz w:val="22"/>
              </w:rPr>
            </w:pPr>
          </w:p>
          <w:p>
            <w:pPr>
              <w:pStyle w:val="TableParagraph"/>
              <w:spacing w:before="1"/>
              <w:ind w:left="105"/>
              <w:rPr>
                <w:sz w:val="22"/>
              </w:rPr>
            </w:pPr>
            <w:r>
              <w:rPr>
                <w:sz w:val="22"/>
              </w:rPr>
              <w:t>A report is being prepared for SCC Cabinet July meeting </w:t>
            </w:r>
            <w:r>
              <w:rPr>
                <w:i/>
                <w:sz w:val="22"/>
              </w:rPr>
              <w:t>[This was moved to an August date after </w:t>
            </w:r>
            <w:r>
              <w:rPr>
                <w:i/>
                <w:sz w:val="22"/>
              </w:rPr>
              <w:t>the Stakeholder meeting</w:t>
            </w:r>
            <w:r>
              <w:rPr>
                <w:sz w:val="22"/>
              </w:rPr>
              <w:t>]. The report will seek authority for the officers to award the contract, submit the final business case to the Department for Transport and will set out the timetable for the remainder of the project. If all goes to plan, the report will be agreed, with construction</w:t>
            </w:r>
          </w:p>
          <w:p>
            <w:pPr>
              <w:pStyle w:val="TableParagraph"/>
              <w:spacing w:line="247" w:lineRule="exact" w:before="1"/>
              <w:ind w:left="105"/>
              <w:rPr>
                <w:sz w:val="22"/>
              </w:rPr>
            </w:pPr>
            <w:r>
              <w:rPr>
                <w:sz w:val="22"/>
              </w:rPr>
              <w:t>commencing early 2021. There were concerns with COVID-19 that tenders would be withdrawn</w:t>
            </w:r>
          </w:p>
        </w:tc>
        <w:tc>
          <w:tcPr>
            <w:tcW w:w="1109" w:type="dxa"/>
          </w:tcPr>
          <w:p>
            <w:pPr>
              <w:pStyle w:val="TableParagraph"/>
              <w:rPr>
                <w:b/>
                <w:sz w:val="22"/>
              </w:rPr>
            </w:pPr>
          </w:p>
          <w:p>
            <w:pPr>
              <w:pStyle w:val="TableParagraph"/>
              <w:rPr>
                <w:b/>
                <w:sz w:val="22"/>
              </w:rPr>
            </w:pPr>
          </w:p>
          <w:p>
            <w:pPr>
              <w:pStyle w:val="TableParagraph"/>
              <w:rPr>
                <w:b/>
                <w:sz w:val="22"/>
              </w:rPr>
            </w:pPr>
          </w:p>
          <w:p>
            <w:pPr>
              <w:pStyle w:val="TableParagraph"/>
              <w:spacing w:before="11"/>
              <w:rPr>
                <w:b/>
                <w:sz w:val="32"/>
              </w:rPr>
            </w:pPr>
          </w:p>
          <w:p>
            <w:pPr>
              <w:pStyle w:val="TableParagraph"/>
              <w:spacing w:before="1"/>
              <w:ind w:left="110" w:right="157"/>
              <w:rPr>
                <w:sz w:val="22"/>
              </w:rPr>
            </w:pPr>
            <w:r>
              <w:rPr>
                <w:sz w:val="22"/>
              </w:rPr>
              <w:t>Bryn Griffiths/ Andrew Pearce</w:t>
            </w:r>
          </w:p>
        </w:tc>
      </w:tr>
    </w:tbl>
    <w:p>
      <w:pPr>
        <w:spacing w:after="0"/>
        <w:rPr>
          <w:sz w:val="22"/>
        </w:rPr>
        <w:sectPr>
          <w:type w:val="continuous"/>
          <w:pgSz w:w="11910" w:h="16840"/>
          <w:pgMar w:top="700" w:bottom="280" w:left="60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
        <w:gridCol w:w="8928"/>
        <w:gridCol w:w="1109"/>
      </w:tblGrid>
      <w:tr>
        <w:trPr>
          <w:trHeight w:val="12086" w:hRule="atLeast"/>
        </w:trPr>
        <w:tc>
          <w:tcPr>
            <w:tcW w:w="422" w:type="dxa"/>
          </w:tcPr>
          <w:p>
            <w:pPr>
              <w:pStyle w:val="TableParagraph"/>
              <w:rPr>
                <w:rFonts w:ascii="Times New Roman"/>
                <w:sz w:val="22"/>
              </w:rPr>
            </w:pPr>
          </w:p>
        </w:tc>
        <w:tc>
          <w:tcPr>
            <w:tcW w:w="8928" w:type="dxa"/>
          </w:tcPr>
          <w:p>
            <w:pPr>
              <w:pStyle w:val="TableParagraph"/>
              <w:spacing w:before="1"/>
              <w:ind w:left="105"/>
              <w:rPr>
                <w:sz w:val="22"/>
              </w:rPr>
            </w:pPr>
            <w:r>
              <w:rPr>
                <w:sz w:val="22"/>
              </w:rPr>
              <w:t>but this has not been the case. We have had to slightly extend the procurement timetable due to the pandemic.</w:t>
            </w:r>
          </w:p>
          <w:p>
            <w:pPr>
              <w:pStyle w:val="TableParagraph"/>
              <w:spacing w:before="1"/>
              <w:rPr>
                <w:b/>
                <w:sz w:val="22"/>
              </w:rPr>
            </w:pPr>
          </w:p>
          <w:p>
            <w:pPr>
              <w:pStyle w:val="TableParagraph"/>
              <w:ind w:left="104" w:right="422"/>
              <w:rPr>
                <w:sz w:val="22"/>
              </w:rPr>
            </w:pPr>
            <w:r>
              <w:rPr>
                <w:sz w:val="22"/>
              </w:rPr>
              <w:t>We are now in the process of issuing the DCO requirements documents to the planning authorities and other stakeholders for signing off. The progress for this is publicly available on the Lake Lothing web pages. However, some of these requirement documents can’t be discharged until we have a contractor on board.</w:t>
            </w:r>
          </w:p>
          <w:p>
            <w:pPr>
              <w:pStyle w:val="TableParagraph"/>
              <w:rPr>
                <w:b/>
                <w:sz w:val="22"/>
              </w:rPr>
            </w:pPr>
          </w:p>
          <w:p>
            <w:pPr>
              <w:pStyle w:val="TableParagraph"/>
              <w:spacing w:before="1"/>
              <w:ind w:left="104" w:right="454"/>
              <w:rPr>
                <w:sz w:val="22"/>
              </w:rPr>
            </w:pPr>
            <w:r>
              <w:rPr>
                <w:sz w:val="22"/>
              </w:rPr>
              <w:t>Landowner agreements have been progressing and the issues of difference with ABP are now resolved.</w:t>
            </w:r>
          </w:p>
          <w:p>
            <w:pPr>
              <w:pStyle w:val="TableParagraph"/>
              <w:spacing w:before="8"/>
              <w:rPr>
                <w:b/>
                <w:sz w:val="21"/>
              </w:rPr>
            </w:pPr>
          </w:p>
          <w:p>
            <w:pPr>
              <w:pStyle w:val="TableParagraph"/>
              <w:ind w:left="104" w:right="153"/>
              <w:rPr>
                <w:sz w:val="22"/>
              </w:rPr>
            </w:pPr>
            <w:r>
              <w:rPr>
                <w:sz w:val="22"/>
              </w:rPr>
              <w:t>There were concerns that when we entered the pandemic the project would stall as many other national schemes have, but the project team have been able to continue working and progressing the project through lockdown which is an achievement.</w:t>
            </w:r>
          </w:p>
          <w:p>
            <w:pPr>
              <w:pStyle w:val="TableParagraph"/>
              <w:rPr>
                <w:b/>
                <w:sz w:val="22"/>
              </w:rPr>
            </w:pPr>
          </w:p>
          <w:p>
            <w:pPr>
              <w:pStyle w:val="TableParagraph"/>
              <w:ind w:left="104"/>
              <w:rPr>
                <w:sz w:val="22"/>
              </w:rPr>
            </w:pPr>
            <w:r>
              <w:rPr>
                <w:sz w:val="22"/>
              </w:rPr>
              <w:t>After we submit the business case to the Department for Transport, the funding should be drawn down within 8 weeks. After the cabinet report, we will have a peer appraisal where other local authorities come in to review our project and provide feedback.</w:t>
            </w:r>
          </w:p>
          <w:p>
            <w:pPr>
              <w:pStyle w:val="TableParagraph"/>
              <w:spacing w:before="1"/>
              <w:rPr>
                <w:b/>
                <w:sz w:val="22"/>
              </w:rPr>
            </w:pPr>
          </w:p>
          <w:p>
            <w:pPr>
              <w:pStyle w:val="TableParagraph"/>
              <w:ind w:left="104"/>
              <w:rPr>
                <w:sz w:val="22"/>
              </w:rPr>
            </w:pPr>
            <w:r>
              <w:rPr>
                <w:sz w:val="22"/>
              </w:rPr>
              <w:t>Updated procurement timeline:</w:t>
            </w:r>
          </w:p>
          <w:p>
            <w:pPr>
              <w:pStyle w:val="TableParagraph"/>
              <w:ind w:left="104"/>
              <w:rPr>
                <w:sz w:val="22"/>
              </w:rPr>
            </w:pPr>
            <w:r>
              <w:rPr>
                <w:sz w:val="22"/>
              </w:rPr>
              <w:t>Complete tender evaluation – August 2020</w:t>
            </w:r>
          </w:p>
          <w:p>
            <w:pPr>
              <w:pStyle w:val="TableParagraph"/>
              <w:ind w:left="104" w:right="2239"/>
              <w:rPr>
                <w:sz w:val="22"/>
              </w:rPr>
            </w:pPr>
            <w:r>
              <w:rPr>
                <w:sz w:val="22"/>
              </w:rPr>
              <w:t>Seek permission to award contract – expected at August Cabinet meeting Submit final business case to DfT – September 2020</w:t>
            </w:r>
          </w:p>
          <w:p>
            <w:pPr>
              <w:pStyle w:val="TableParagraph"/>
              <w:spacing w:before="1"/>
              <w:ind w:left="104" w:right="1251"/>
              <w:rPr>
                <w:sz w:val="22"/>
              </w:rPr>
            </w:pPr>
            <w:r>
              <w:rPr>
                <w:sz w:val="22"/>
              </w:rPr>
              <w:t>Anticipated confirmation of FBC funding and contract award – Autumn 2020 Contract commencement on site – Early 2021</w:t>
            </w:r>
          </w:p>
          <w:p>
            <w:pPr>
              <w:pStyle w:val="TableParagraph"/>
              <w:rPr>
                <w:b/>
                <w:sz w:val="22"/>
              </w:rPr>
            </w:pPr>
          </w:p>
          <w:p>
            <w:pPr>
              <w:pStyle w:val="TableParagraph"/>
              <w:ind w:left="103" w:right="139"/>
              <w:rPr>
                <w:sz w:val="22"/>
              </w:rPr>
            </w:pPr>
            <w:r>
              <w:rPr>
                <w:sz w:val="22"/>
              </w:rPr>
              <w:t>Andrew Pearce proceeded to show the steering group an example of virtual project construction from the (undisclosed) tenders. During the presentation, Andrew advised that the best way to bring the lifting section of the bridge to Lowestoft is via sea barge and then proceed to crane it into position. The j-beam sections of the bridge will be fabricated in Belgium. Making them off- site in a specialised environment is a better way of ensuring quality in terms of welding and painting as opposed to onsite.</w:t>
            </w:r>
          </w:p>
          <w:p>
            <w:pPr>
              <w:pStyle w:val="TableParagraph"/>
              <w:spacing w:before="9"/>
              <w:rPr>
                <w:b/>
                <w:sz w:val="21"/>
              </w:rPr>
            </w:pPr>
          </w:p>
          <w:p>
            <w:pPr>
              <w:pStyle w:val="TableParagraph"/>
              <w:ind w:left="103"/>
              <w:rPr>
                <w:sz w:val="22"/>
              </w:rPr>
            </w:pPr>
            <w:r>
              <w:rPr>
                <w:sz w:val="22"/>
              </w:rPr>
              <w:t>Comments:</w:t>
            </w:r>
          </w:p>
          <w:p>
            <w:pPr>
              <w:pStyle w:val="TableParagraph"/>
              <w:ind w:left="103"/>
              <w:rPr>
                <w:sz w:val="22"/>
              </w:rPr>
            </w:pPr>
            <w:r>
              <w:rPr>
                <w:sz w:val="22"/>
              </w:rPr>
              <w:t>Cllr Norman Brooks – why is the middle unit being built in Belgium?</w:t>
            </w:r>
          </w:p>
          <w:p>
            <w:pPr>
              <w:pStyle w:val="TableParagraph"/>
              <w:ind w:left="103" w:right="252"/>
              <w:rPr>
                <w:sz w:val="22"/>
              </w:rPr>
            </w:pPr>
            <w:r>
              <w:rPr>
                <w:sz w:val="22"/>
              </w:rPr>
              <w:t>SCC comment - The competitive tendering process is reliant on the contractors to ensure that that we are getting the best quality and value within the supply chain. Sadly, the bridge is not likely to be built in the UK as it requires specialist manufacture, but we are advocating local supply chain where possible.</w:t>
            </w:r>
          </w:p>
          <w:p>
            <w:pPr>
              <w:pStyle w:val="TableParagraph"/>
              <w:spacing w:before="1"/>
              <w:rPr>
                <w:b/>
                <w:sz w:val="22"/>
              </w:rPr>
            </w:pPr>
          </w:p>
          <w:p>
            <w:pPr>
              <w:pStyle w:val="TableParagraph"/>
              <w:ind w:left="105" w:right="139" w:hanging="2"/>
              <w:rPr>
                <w:sz w:val="22"/>
              </w:rPr>
            </w:pPr>
            <w:r>
              <w:rPr>
                <w:sz w:val="22"/>
              </w:rPr>
              <w:t>Cllr Craig Rivett – is the 2021 start for certain or will there be a possibility to start in late 2020? SCC comment - Bryn advised that 2021 is a reasonable, realistic projection given the pandemic, but if there is a further outbreak this could delay the project further. Andrew advised that the critical path is reliant on the Department for Transport acting within the 8 weeks stated, and any</w:t>
            </w:r>
          </w:p>
          <w:p>
            <w:pPr>
              <w:pStyle w:val="TableParagraph"/>
              <w:spacing w:line="247" w:lineRule="exact" w:before="4"/>
              <w:ind w:left="105"/>
              <w:rPr>
                <w:sz w:val="22"/>
              </w:rPr>
            </w:pPr>
            <w:r>
              <w:rPr>
                <w:sz w:val="22"/>
              </w:rPr>
              <w:t>delays could affect the issue of the contract.</w:t>
            </w:r>
          </w:p>
        </w:tc>
        <w:tc>
          <w:tcPr>
            <w:tcW w:w="1109" w:type="dxa"/>
          </w:tcPr>
          <w:p>
            <w:pPr>
              <w:pStyle w:val="TableParagraph"/>
              <w:rPr>
                <w:rFonts w:ascii="Times New Roman"/>
                <w:sz w:val="22"/>
              </w:rPr>
            </w:pPr>
          </w:p>
        </w:tc>
      </w:tr>
      <w:tr>
        <w:trPr>
          <w:trHeight w:val="3258" w:hRule="atLeast"/>
        </w:trPr>
        <w:tc>
          <w:tcPr>
            <w:tcW w:w="42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51"/>
              <w:ind w:left="110"/>
              <w:rPr>
                <w:sz w:val="22"/>
              </w:rPr>
            </w:pPr>
            <w:r>
              <w:rPr>
                <w:w w:val="100"/>
                <w:sz w:val="22"/>
              </w:rPr>
              <w:t>4</w:t>
            </w:r>
          </w:p>
        </w:tc>
        <w:tc>
          <w:tcPr>
            <w:tcW w:w="8928" w:type="dxa"/>
          </w:tcPr>
          <w:p>
            <w:pPr>
              <w:pStyle w:val="TableParagraph"/>
              <w:spacing w:before="1"/>
              <w:ind w:left="105"/>
              <w:rPr>
                <w:b/>
                <w:sz w:val="22"/>
              </w:rPr>
            </w:pPr>
            <w:r>
              <w:rPr>
                <w:b/>
                <w:sz w:val="22"/>
              </w:rPr>
              <w:t>Comms</w:t>
            </w:r>
          </w:p>
          <w:p>
            <w:pPr>
              <w:pStyle w:val="TableParagraph"/>
              <w:ind w:left="106" w:hanging="1"/>
              <w:rPr>
                <w:sz w:val="22"/>
              </w:rPr>
            </w:pPr>
            <w:r>
              <w:rPr>
                <w:sz w:val="22"/>
              </w:rPr>
              <w:t>There was lots of positive press coverage following the DCO announcement on the 30 April. This has led to a number of smaller firms to contact us to see how they can be involved in the project.</w:t>
            </w:r>
          </w:p>
          <w:p>
            <w:pPr>
              <w:pStyle w:val="TableParagraph"/>
              <w:spacing w:before="1"/>
              <w:rPr>
                <w:b/>
                <w:sz w:val="22"/>
              </w:rPr>
            </w:pPr>
          </w:p>
          <w:p>
            <w:pPr>
              <w:pStyle w:val="TableParagraph"/>
              <w:spacing w:line="268" w:lineRule="exact"/>
              <w:ind w:left="106"/>
              <w:rPr>
                <w:sz w:val="22"/>
              </w:rPr>
            </w:pPr>
            <w:r>
              <w:rPr>
                <w:sz w:val="22"/>
              </w:rPr>
              <w:t>Future comms</w:t>
            </w:r>
          </w:p>
          <w:p>
            <w:pPr>
              <w:pStyle w:val="TableParagraph"/>
              <w:numPr>
                <w:ilvl w:val="0"/>
                <w:numId w:val="1"/>
              </w:numPr>
              <w:tabs>
                <w:tab w:pos="825" w:val="left" w:leader="none"/>
                <w:tab w:pos="827" w:val="left" w:leader="none"/>
              </w:tabs>
              <w:spacing w:line="240" w:lineRule="auto" w:before="0" w:after="0"/>
              <w:ind w:left="825" w:right="192" w:hanging="360"/>
              <w:jc w:val="left"/>
              <w:rPr>
                <w:sz w:val="22"/>
              </w:rPr>
            </w:pPr>
            <w:r>
              <w:rPr>
                <w:sz w:val="22"/>
              </w:rPr>
              <w:t>We have notified landowners about the development consent, they will then give</w:t>
            </w:r>
            <w:r>
              <w:rPr>
                <w:spacing w:val="-33"/>
                <w:sz w:val="22"/>
              </w:rPr>
              <w:t> </w:t>
            </w:r>
            <w:r>
              <w:rPr>
                <w:sz w:val="22"/>
              </w:rPr>
              <w:t>notice ahead of work</w:t>
            </w:r>
            <w:r>
              <w:rPr>
                <w:spacing w:val="-9"/>
                <w:sz w:val="22"/>
              </w:rPr>
              <w:t> </w:t>
            </w:r>
            <w:r>
              <w:rPr>
                <w:sz w:val="22"/>
              </w:rPr>
              <w:t>starting.</w:t>
            </w:r>
          </w:p>
          <w:p>
            <w:pPr>
              <w:pStyle w:val="TableParagraph"/>
              <w:numPr>
                <w:ilvl w:val="0"/>
                <w:numId w:val="1"/>
              </w:numPr>
              <w:tabs>
                <w:tab w:pos="825" w:val="left" w:leader="none"/>
                <w:tab w:pos="826" w:val="left" w:leader="none"/>
              </w:tabs>
              <w:spacing w:line="240" w:lineRule="auto" w:before="0" w:after="0"/>
              <w:ind w:left="825" w:right="495" w:hanging="360"/>
              <w:jc w:val="left"/>
              <w:rPr>
                <w:sz w:val="22"/>
              </w:rPr>
            </w:pPr>
            <w:r>
              <w:rPr>
                <w:sz w:val="22"/>
              </w:rPr>
              <w:t>In addition, the planning authorities (Suffolk County Council and East Suffolk Council) have notified stakeholders and near neighbours of the requirements</w:t>
            </w:r>
            <w:r>
              <w:rPr>
                <w:spacing w:val="-21"/>
                <w:sz w:val="22"/>
              </w:rPr>
              <w:t> </w:t>
            </w:r>
            <w:r>
              <w:rPr>
                <w:sz w:val="22"/>
              </w:rPr>
              <w:t>documents.</w:t>
            </w:r>
          </w:p>
          <w:p>
            <w:pPr>
              <w:pStyle w:val="TableParagraph"/>
              <w:numPr>
                <w:ilvl w:val="0"/>
                <w:numId w:val="1"/>
              </w:numPr>
              <w:tabs>
                <w:tab w:pos="825" w:val="left" w:leader="none"/>
                <w:tab w:pos="826" w:val="left" w:leader="none"/>
              </w:tabs>
              <w:spacing w:line="279" w:lineRule="exact" w:before="0" w:after="0"/>
              <w:ind w:left="825" w:right="0" w:hanging="360"/>
              <w:jc w:val="left"/>
              <w:rPr>
                <w:sz w:val="22"/>
              </w:rPr>
            </w:pPr>
            <w:r>
              <w:rPr>
                <w:sz w:val="22"/>
              </w:rPr>
              <w:t>The next press announcement will be surrounding SCC cabinet date and the</w:t>
            </w:r>
            <w:r>
              <w:rPr>
                <w:spacing w:val="-27"/>
                <w:sz w:val="22"/>
              </w:rPr>
              <w:t> </w:t>
            </w:r>
            <w:r>
              <w:rPr>
                <w:sz w:val="22"/>
              </w:rPr>
              <w:t>name</w:t>
            </w:r>
          </w:p>
          <w:p>
            <w:pPr>
              <w:pStyle w:val="TableParagraph"/>
              <w:spacing w:line="270" w:lineRule="atLeast" w:before="1"/>
              <w:ind w:left="825" w:right="139" w:hanging="1"/>
              <w:rPr>
                <w:sz w:val="22"/>
              </w:rPr>
            </w:pPr>
            <w:r>
              <w:rPr>
                <w:sz w:val="22"/>
              </w:rPr>
              <w:t>announcement. The contract award will follow, we will mark this with a site event/photo call.</w:t>
            </w:r>
          </w:p>
        </w:tc>
        <w:tc>
          <w:tcPr>
            <w:tcW w:w="1109"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4"/>
              <w:rPr>
                <w:b/>
                <w:sz w:val="23"/>
              </w:rPr>
            </w:pPr>
          </w:p>
          <w:p>
            <w:pPr>
              <w:pStyle w:val="TableParagraph"/>
              <w:spacing w:before="1"/>
              <w:ind w:left="110" w:right="98"/>
              <w:rPr>
                <w:sz w:val="22"/>
              </w:rPr>
            </w:pPr>
            <w:r>
              <w:rPr>
                <w:sz w:val="22"/>
              </w:rPr>
              <w:t>Katherine Potts</w:t>
            </w:r>
          </w:p>
        </w:tc>
      </w:tr>
    </w:tbl>
    <w:p>
      <w:pPr>
        <w:spacing w:after="0"/>
        <w:rPr>
          <w:sz w:val="22"/>
        </w:rPr>
        <w:sectPr>
          <w:pgSz w:w="11910" w:h="16840"/>
          <w:pgMar w:top="700" w:bottom="280" w:left="60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
        <w:gridCol w:w="8928"/>
        <w:gridCol w:w="1109"/>
      </w:tblGrid>
      <w:tr>
        <w:trPr>
          <w:trHeight w:val="546" w:hRule="atLeast"/>
        </w:trPr>
        <w:tc>
          <w:tcPr>
            <w:tcW w:w="422" w:type="dxa"/>
          </w:tcPr>
          <w:p>
            <w:pPr>
              <w:pStyle w:val="TableParagraph"/>
              <w:rPr>
                <w:rFonts w:ascii="Times New Roman"/>
                <w:sz w:val="22"/>
              </w:rPr>
            </w:pPr>
          </w:p>
        </w:tc>
        <w:tc>
          <w:tcPr>
            <w:tcW w:w="8928" w:type="dxa"/>
          </w:tcPr>
          <w:p>
            <w:pPr>
              <w:pStyle w:val="TableParagraph"/>
              <w:numPr>
                <w:ilvl w:val="0"/>
                <w:numId w:val="2"/>
              </w:numPr>
              <w:tabs>
                <w:tab w:pos="825" w:val="left" w:leader="none"/>
                <w:tab w:pos="826" w:val="left" w:leader="none"/>
              </w:tabs>
              <w:spacing w:line="268" w:lineRule="exact" w:before="6" w:after="0"/>
              <w:ind w:left="825" w:right="294" w:hanging="360"/>
              <w:jc w:val="left"/>
              <w:rPr>
                <w:sz w:val="22"/>
              </w:rPr>
            </w:pPr>
            <w:r>
              <w:rPr>
                <w:sz w:val="22"/>
              </w:rPr>
              <w:t>As</w:t>
            </w:r>
            <w:r>
              <w:rPr>
                <w:spacing w:val="-3"/>
                <w:sz w:val="22"/>
              </w:rPr>
              <w:t> </w:t>
            </w:r>
            <w:r>
              <w:rPr>
                <w:sz w:val="22"/>
              </w:rPr>
              <w:t>we</w:t>
            </w:r>
            <w:r>
              <w:rPr>
                <w:spacing w:val="-3"/>
                <w:sz w:val="22"/>
              </w:rPr>
              <w:t> </w:t>
            </w:r>
            <w:r>
              <w:rPr>
                <w:sz w:val="22"/>
              </w:rPr>
              <w:t>approach</w:t>
            </w:r>
            <w:r>
              <w:rPr>
                <w:spacing w:val="-4"/>
                <w:sz w:val="22"/>
              </w:rPr>
              <w:t> </w:t>
            </w:r>
            <w:r>
              <w:rPr>
                <w:sz w:val="22"/>
              </w:rPr>
              <w:t>construction,</w:t>
            </w:r>
            <w:r>
              <w:rPr>
                <w:spacing w:val="-1"/>
                <w:sz w:val="22"/>
              </w:rPr>
              <w:t> </w:t>
            </w:r>
            <w:r>
              <w:rPr>
                <w:sz w:val="22"/>
              </w:rPr>
              <w:t>we</w:t>
            </w:r>
            <w:r>
              <w:rPr>
                <w:spacing w:val="-3"/>
                <w:sz w:val="22"/>
              </w:rPr>
              <w:t> </w:t>
            </w:r>
            <w:r>
              <w:rPr>
                <w:sz w:val="22"/>
              </w:rPr>
              <w:t>will</w:t>
            </w:r>
            <w:r>
              <w:rPr>
                <w:spacing w:val="-1"/>
                <w:sz w:val="22"/>
              </w:rPr>
              <w:t> </w:t>
            </w:r>
            <w:r>
              <w:rPr>
                <w:sz w:val="22"/>
              </w:rPr>
              <w:t>work</w:t>
            </w:r>
            <w:r>
              <w:rPr>
                <w:spacing w:val="-3"/>
                <w:sz w:val="22"/>
              </w:rPr>
              <w:t> </w:t>
            </w:r>
            <w:r>
              <w:rPr>
                <w:sz w:val="22"/>
              </w:rPr>
              <w:t>with</w:t>
            </w:r>
            <w:r>
              <w:rPr>
                <w:spacing w:val="-4"/>
                <w:sz w:val="22"/>
              </w:rPr>
              <w:t> </w:t>
            </w:r>
            <w:r>
              <w:rPr>
                <w:sz w:val="22"/>
              </w:rPr>
              <w:t>the</w:t>
            </w:r>
            <w:r>
              <w:rPr>
                <w:spacing w:val="-3"/>
                <w:sz w:val="22"/>
              </w:rPr>
              <w:t> </w:t>
            </w:r>
            <w:r>
              <w:rPr>
                <w:sz w:val="22"/>
              </w:rPr>
              <w:t>contractor</w:t>
            </w:r>
            <w:r>
              <w:rPr>
                <w:spacing w:val="0"/>
                <w:sz w:val="22"/>
              </w:rPr>
              <w:t> </w:t>
            </w:r>
            <w:r>
              <w:rPr>
                <w:sz w:val="22"/>
              </w:rPr>
              <w:t>on</w:t>
            </w:r>
            <w:r>
              <w:rPr>
                <w:spacing w:val="-4"/>
                <w:sz w:val="22"/>
              </w:rPr>
              <w:t> </w:t>
            </w:r>
            <w:r>
              <w:rPr>
                <w:sz w:val="22"/>
              </w:rPr>
              <w:t>a</w:t>
            </w:r>
            <w:r>
              <w:rPr>
                <w:spacing w:val="-3"/>
                <w:sz w:val="22"/>
              </w:rPr>
              <w:t> </w:t>
            </w:r>
            <w:r>
              <w:rPr>
                <w:sz w:val="22"/>
              </w:rPr>
              <w:t>joint</w:t>
            </w:r>
            <w:r>
              <w:rPr>
                <w:spacing w:val="-5"/>
                <w:sz w:val="22"/>
              </w:rPr>
              <w:t> </w:t>
            </w:r>
            <w:r>
              <w:rPr>
                <w:sz w:val="22"/>
              </w:rPr>
              <w:t>website</w:t>
            </w:r>
            <w:r>
              <w:rPr>
                <w:spacing w:val="-3"/>
                <w:sz w:val="22"/>
              </w:rPr>
              <w:t> </w:t>
            </w:r>
            <w:r>
              <w:rPr>
                <w:sz w:val="22"/>
              </w:rPr>
              <w:t>and</w:t>
            </w:r>
            <w:r>
              <w:rPr>
                <w:spacing w:val="-3"/>
                <w:sz w:val="22"/>
              </w:rPr>
              <w:t> </w:t>
            </w:r>
            <w:r>
              <w:rPr>
                <w:sz w:val="22"/>
              </w:rPr>
              <w:t>a social media</w:t>
            </w:r>
            <w:r>
              <w:rPr>
                <w:spacing w:val="-3"/>
                <w:sz w:val="22"/>
              </w:rPr>
              <w:t> </w:t>
            </w:r>
            <w:r>
              <w:rPr>
                <w:sz w:val="22"/>
              </w:rPr>
              <w:t>presence</w:t>
            </w:r>
          </w:p>
        </w:tc>
        <w:tc>
          <w:tcPr>
            <w:tcW w:w="1109" w:type="dxa"/>
          </w:tcPr>
          <w:p>
            <w:pPr>
              <w:pStyle w:val="TableParagraph"/>
              <w:rPr>
                <w:rFonts w:ascii="Times New Roman"/>
                <w:sz w:val="22"/>
              </w:rPr>
            </w:pPr>
          </w:p>
        </w:tc>
      </w:tr>
      <w:tr>
        <w:trPr>
          <w:trHeight w:val="340" w:hRule="atLeast"/>
        </w:trPr>
        <w:tc>
          <w:tcPr>
            <w:tcW w:w="422" w:type="dxa"/>
          </w:tcPr>
          <w:p>
            <w:pPr>
              <w:pStyle w:val="TableParagraph"/>
              <w:spacing w:before="40"/>
              <w:ind w:left="110"/>
              <w:rPr>
                <w:sz w:val="22"/>
              </w:rPr>
            </w:pPr>
            <w:r>
              <w:rPr>
                <w:w w:val="100"/>
                <w:sz w:val="22"/>
              </w:rPr>
              <w:t>5</w:t>
            </w:r>
          </w:p>
        </w:tc>
        <w:tc>
          <w:tcPr>
            <w:tcW w:w="8928" w:type="dxa"/>
          </w:tcPr>
          <w:p>
            <w:pPr>
              <w:pStyle w:val="TableParagraph"/>
              <w:spacing w:before="40"/>
              <w:ind w:left="105"/>
              <w:rPr>
                <w:sz w:val="22"/>
              </w:rPr>
            </w:pPr>
            <w:r>
              <w:rPr>
                <w:sz w:val="22"/>
              </w:rPr>
              <w:t>AOB</w:t>
            </w:r>
          </w:p>
        </w:tc>
        <w:tc>
          <w:tcPr>
            <w:tcW w:w="1109" w:type="dxa"/>
          </w:tcPr>
          <w:p>
            <w:pPr>
              <w:pStyle w:val="TableParagraph"/>
              <w:spacing w:before="40"/>
              <w:ind w:left="110"/>
              <w:rPr>
                <w:sz w:val="22"/>
              </w:rPr>
            </w:pPr>
            <w:r>
              <w:rPr>
                <w:sz w:val="22"/>
              </w:rPr>
              <w:t>All</w:t>
            </w:r>
          </w:p>
        </w:tc>
      </w:tr>
    </w:tbl>
    <w:p>
      <w:pPr>
        <w:spacing w:line="240" w:lineRule="auto" w:before="4"/>
        <w:rPr>
          <w:b/>
          <w:sz w:val="27"/>
        </w:rPr>
      </w:pPr>
    </w:p>
    <w:p>
      <w:pPr>
        <w:pStyle w:val="BodyText"/>
        <w:spacing w:before="57"/>
        <w:ind w:left="120"/>
      </w:pPr>
      <w:r>
        <w:rPr/>
        <w:t>Date of Next meetings:</w:t>
      </w:r>
    </w:p>
    <w:p>
      <w:pPr>
        <w:pStyle w:val="BodyText"/>
        <w:ind w:left="120"/>
      </w:pPr>
      <w:r>
        <w:rPr/>
        <w:t>Friday 18 September, 10:00 – 12:00</w:t>
      </w:r>
    </w:p>
    <w:p>
      <w:pPr>
        <w:pStyle w:val="BodyText"/>
        <w:ind w:left="119"/>
      </w:pPr>
      <w:r>
        <w:rPr/>
        <w:t>Friday 11 December, 10:00 - 12:00</w:t>
      </w:r>
    </w:p>
    <w:sectPr>
      <w:pgSz w:w="11910" w:h="16840"/>
      <w:pgMar w:top="70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5" w:hanging="360"/>
      </w:pPr>
      <w:rPr>
        <w:rFonts w:hint="default" w:ascii="Symbol" w:hAnsi="Symbol" w:eastAsia="Symbol" w:cs="Symbol"/>
        <w:w w:val="100"/>
        <w:sz w:val="22"/>
        <w:szCs w:val="22"/>
        <w:lang w:val="en-gb" w:eastAsia="en-gb" w:bidi="en-gb"/>
      </w:rPr>
    </w:lvl>
    <w:lvl w:ilvl="1">
      <w:start w:val="0"/>
      <w:numFmt w:val="bullet"/>
      <w:lvlText w:val="•"/>
      <w:lvlJc w:val="left"/>
      <w:pPr>
        <w:ind w:left="1629" w:hanging="360"/>
      </w:pPr>
      <w:rPr>
        <w:rFonts w:hint="default"/>
        <w:lang w:val="en-gb" w:eastAsia="en-gb" w:bidi="en-gb"/>
      </w:rPr>
    </w:lvl>
    <w:lvl w:ilvl="2">
      <w:start w:val="0"/>
      <w:numFmt w:val="bullet"/>
      <w:lvlText w:val="•"/>
      <w:lvlJc w:val="left"/>
      <w:pPr>
        <w:ind w:left="2439" w:hanging="360"/>
      </w:pPr>
      <w:rPr>
        <w:rFonts w:hint="default"/>
        <w:lang w:val="en-gb" w:eastAsia="en-gb" w:bidi="en-gb"/>
      </w:rPr>
    </w:lvl>
    <w:lvl w:ilvl="3">
      <w:start w:val="0"/>
      <w:numFmt w:val="bullet"/>
      <w:lvlText w:val="•"/>
      <w:lvlJc w:val="left"/>
      <w:pPr>
        <w:ind w:left="3249" w:hanging="360"/>
      </w:pPr>
      <w:rPr>
        <w:rFonts w:hint="default"/>
        <w:lang w:val="en-gb" w:eastAsia="en-gb" w:bidi="en-gb"/>
      </w:rPr>
    </w:lvl>
    <w:lvl w:ilvl="4">
      <w:start w:val="0"/>
      <w:numFmt w:val="bullet"/>
      <w:lvlText w:val="•"/>
      <w:lvlJc w:val="left"/>
      <w:pPr>
        <w:ind w:left="4059" w:hanging="360"/>
      </w:pPr>
      <w:rPr>
        <w:rFonts w:hint="default"/>
        <w:lang w:val="en-gb" w:eastAsia="en-gb" w:bidi="en-gb"/>
      </w:rPr>
    </w:lvl>
    <w:lvl w:ilvl="5">
      <w:start w:val="0"/>
      <w:numFmt w:val="bullet"/>
      <w:lvlText w:val="•"/>
      <w:lvlJc w:val="left"/>
      <w:pPr>
        <w:ind w:left="4869" w:hanging="360"/>
      </w:pPr>
      <w:rPr>
        <w:rFonts w:hint="default"/>
        <w:lang w:val="en-gb" w:eastAsia="en-gb" w:bidi="en-gb"/>
      </w:rPr>
    </w:lvl>
    <w:lvl w:ilvl="6">
      <w:start w:val="0"/>
      <w:numFmt w:val="bullet"/>
      <w:lvlText w:val="•"/>
      <w:lvlJc w:val="left"/>
      <w:pPr>
        <w:ind w:left="5678" w:hanging="360"/>
      </w:pPr>
      <w:rPr>
        <w:rFonts w:hint="default"/>
        <w:lang w:val="en-gb" w:eastAsia="en-gb" w:bidi="en-gb"/>
      </w:rPr>
    </w:lvl>
    <w:lvl w:ilvl="7">
      <w:start w:val="0"/>
      <w:numFmt w:val="bullet"/>
      <w:lvlText w:val="•"/>
      <w:lvlJc w:val="left"/>
      <w:pPr>
        <w:ind w:left="6488" w:hanging="360"/>
      </w:pPr>
      <w:rPr>
        <w:rFonts w:hint="default"/>
        <w:lang w:val="en-gb" w:eastAsia="en-gb" w:bidi="en-gb"/>
      </w:rPr>
    </w:lvl>
    <w:lvl w:ilvl="8">
      <w:start w:val="0"/>
      <w:numFmt w:val="bullet"/>
      <w:lvlText w:val="•"/>
      <w:lvlJc w:val="left"/>
      <w:pPr>
        <w:ind w:left="7298" w:hanging="360"/>
      </w:pPr>
      <w:rPr>
        <w:rFonts w:hint="default"/>
        <w:lang w:val="en-gb" w:eastAsia="en-gb" w:bidi="en-gb"/>
      </w:rPr>
    </w:lvl>
  </w:abstractNum>
  <w:abstractNum w:abstractNumId="0">
    <w:multiLevelType w:val="hybridMultilevel"/>
    <w:lvl w:ilvl="0">
      <w:start w:val="0"/>
      <w:numFmt w:val="bullet"/>
      <w:lvlText w:val=""/>
      <w:lvlJc w:val="left"/>
      <w:pPr>
        <w:ind w:left="825" w:hanging="361"/>
      </w:pPr>
      <w:rPr>
        <w:rFonts w:hint="default" w:ascii="Symbol" w:hAnsi="Symbol" w:eastAsia="Symbol" w:cs="Symbol"/>
        <w:w w:val="100"/>
        <w:sz w:val="22"/>
        <w:szCs w:val="22"/>
        <w:lang w:val="en-gb" w:eastAsia="en-gb" w:bidi="en-gb"/>
      </w:rPr>
    </w:lvl>
    <w:lvl w:ilvl="1">
      <w:start w:val="0"/>
      <w:numFmt w:val="bullet"/>
      <w:lvlText w:val="•"/>
      <w:lvlJc w:val="left"/>
      <w:pPr>
        <w:ind w:left="1629" w:hanging="361"/>
      </w:pPr>
      <w:rPr>
        <w:rFonts w:hint="default"/>
        <w:lang w:val="en-gb" w:eastAsia="en-gb" w:bidi="en-gb"/>
      </w:rPr>
    </w:lvl>
    <w:lvl w:ilvl="2">
      <w:start w:val="0"/>
      <w:numFmt w:val="bullet"/>
      <w:lvlText w:val="•"/>
      <w:lvlJc w:val="left"/>
      <w:pPr>
        <w:ind w:left="2439" w:hanging="361"/>
      </w:pPr>
      <w:rPr>
        <w:rFonts w:hint="default"/>
        <w:lang w:val="en-gb" w:eastAsia="en-gb" w:bidi="en-gb"/>
      </w:rPr>
    </w:lvl>
    <w:lvl w:ilvl="3">
      <w:start w:val="0"/>
      <w:numFmt w:val="bullet"/>
      <w:lvlText w:val="•"/>
      <w:lvlJc w:val="left"/>
      <w:pPr>
        <w:ind w:left="3249" w:hanging="361"/>
      </w:pPr>
      <w:rPr>
        <w:rFonts w:hint="default"/>
        <w:lang w:val="en-gb" w:eastAsia="en-gb" w:bidi="en-gb"/>
      </w:rPr>
    </w:lvl>
    <w:lvl w:ilvl="4">
      <w:start w:val="0"/>
      <w:numFmt w:val="bullet"/>
      <w:lvlText w:val="•"/>
      <w:lvlJc w:val="left"/>
      <w:pPr>
        <w:ind w:left="4059" w:hanging="361"/>
      </w:pPr>
      <w:rPr>
        <w:rFonts w:hint="default"/>
        <w:lang w:val="en-gb" w:eastAsia="en-gb" w:bidi="en-gb"/>
      </w:rPr>
    </w:lvl>
    <w:lvl w:ilvl="5">
      <w:start w:val="0"/>
      <w:numFmt w:val="bullet"/>
      <w:lvlText w:val="•"/>
      <w:lvlJc w:val="left"/>
      <w:pPr>
        <w:ind w:left="4869" w:hanging="361"/>
      </w:pPr>
      <w:rPr>
        <w:rFonts w:hint="default"/>
        <w:lang w:val="en-gb" w:eastAsia="en-gb" w:bidi="en-gb"/>
      </w:rPr>
    </w:lvl>
    <w:lvl w:ilvl="6">
      <w:start w:val="0"/>
      <w:numFmt w:val="bullet"/>
      <w:lvlText w:val="•"/>
      <w:lvlJc w:val="left"/>
      <w:pPr>
        <w:ind w:left="5678" w:hanging="361"/>
      </w:pPr>
      <w:rPr>
        <w:rFonts w:hint="default"/>
        <w:lang w:val="en-gb" w:eastAsia="en-gb" w:bidi="en-gb"/>
      </w:rPr>
    </w:lvl>
    <w:lvl w:ilvl="7">
      <w:start w:val="0"/>
      <w:numFmt w:val="bullet"/>
      <w:lvlText w:val="•"/>
      <w:lvlJc w:val="left"/>
      <w:pPr>
        <w:ind w:left="6488" w:hanging="361"/>
      </w:pPr>
      <w:rPr>
        <w:rFonts w:hint="default"/>
        <w:lang w:val="en-gb" w:eastAsia="en-gb" w:bidi="en-gb"/>
      </w:rPr>
    </w:lvl>
    <w:lvl w:ilvl="8">
      <w:start w:val="0"/>
      <w:numFmt w:val="bullet"/>
      <w:lvlText w:val="•"/>
      <w:lvlJc w:val="left"/>
      <w:pPr>
        <w:ind w:left="7298" w:hanging="361"/>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b/>
      <w:bCs/>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Howard</dc:creator>
  <dc:title>Non Executive Template</dc:title>
  <dcterms:created xsi:type="dcterms:W3CDTF">2021-01-06T10:58:40Z</dcterms:created>
  <dcterms:modified xsi:type="dcterms:W3CDTF">2021-01-06T10:58:40Z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Acrobat PDFMaker 20 for Word</vt:lpwstr>
  </property>
  <property fmtid="{D5CDD505-2E9C-101B-9397-08002B2CF9AE}" pid="4" name="LastSaved">
    <vt:filetime>2021-01-06T00:00:00Z</vt:filetime>
  </property>
</Properties>
</file>