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00" w:right="0" w:firstLine="0"/>
        <w:jc w:val="left"/>
        <w:rPr>
          <w:b/>
          <w:sz w:val="28"/>
        </w:rPr>
      </w:pPr>
      <w:r>
        <w:rPr>
          <w:b/>
          <w:sz w:val="28"/>
        </w:rPr>
        <w:t>Lake Lothing Crossing Key Stakeholders Group Actions – 10</w:t>
      </w:r>
      <w:r>
        <w:rPr>
          <w:b/>
          <w:sz w:val="28"/>
          <w:vertAlign w:val="superscript"/>
        </w:rPr>
        <w:t>th</w:t>
      </w:r>
      <w:r>
        <w:rPr>
          <w:b/>
          <w:sz w:val="28"/>
          <w:vertAlign w:val="baseline"/>
        </w:rPr>
        <w:t> September 2018</w:t>
      </w:r>
    </w:p>
    <w:p>
      <w:pPr>
        <w:pStyle w:val="BodyText"/>
        <w:spacing w:before="251"/>
        <w:ind w:left="100"/>
      </w:pPr>
      <w:r>
        <w:rPr>
          <w:b/>
        </w:rPr>
        <w:t>Attendees: </w:t>
      </w:r>
      <w:r>
        <w:rPr/>
        <w:t>Peter Aldous MP, Cllr Mark Bee (WDC), Cllr Matthew Hicks (SCC),</w:t>
      </w:r>
    </w:p>
    <w:p>
      <w:pPr>
        <w:pStyle w:val="BodyText"/>
        <w:spacing w:line="273" w:lineRule="auto" w:before="41"/>
        <w:ind w:left="100" w:right="527"/>
      </w:pPr>
      <w:r>
        <w:rPr/>
        <w:t>Cllr David Ritchie (WDC), Cllr Michael Ladd (WDC), Cllr Peter Byatt (WDC), Cllr Alice Taylor (LTC), Cllr Ben Falat (OBPC), Andy Jarvis (WDC), Jon Barnard (SCC), Paul Ager (ABP),</w:t>
      </w:r>
    </w:p>
    <w:p>
      <w:pPr>
        <w:pStyle w:val="BodyText"/>
        <w:spacing w:before="5"/>
        <w:ind w:left="100"/>
      </w:pPr>
      <w:r>
        <w:rPr/>
        <w:t>Richard Musgrove (ABP), Richard Perkins (SCoC), Carolyn Barnes (WDC), Gary Bellward (WDC)</w:t>
      </w:r>
    </w:p>
    <w:p>
      <w:pPr>
        <w:pStyle w:val="BodyText"/>
        <w:spacing w:before="6"/>
        <w:rPr>
          <w:sz w:val="28"/>
        </w:rPr>
      </w:pPr>
    </w:p>
    <w:p>
      <w:pPr>
        <w:pStyle w:val="BodyText"/>
        <w:spacing w:line="276" w:lineRule="auto"/>
        <w:ind w:left="100" w:right="708"/>
      </w:pPr>
      <w:r>
        <w:rPr>
          <w:b/>
        </w:rPr>
        <w:t>Apologies: </w:t>
      </w:r>
      <w:r>
        <w:rPr/>
        <w:t>Cllr James Reeder (SCC), Bryn Griffiths (SCC), Paul Wood (WDC), Tony Barrow (HE), Ellen Goodwin (LEP), Matt Brennan (NR), Sharon Bleese (WDC).</w:t>
      </w:r>
    </w:p>
    <w:p>
      <w:pPr>
        <w:pStyle w:val="BodyText"/>
        <w:spacing w:before="4"/>
        <w:rPr>
          <w:sz w:val="25"/>
        </w:rPr>
      </w:pPr>
    </w:p>
    <w:p>
      <w:pPr>
        <w:pStyle w:val="Heading1"/>
        <w:tabs>
          <w:tab w:pos="8324" w:val="left" w:leader="none"/>
        </w:tabs>
        <w:ind w:firstLine="0"/>
      </w:pPr>
      <w:r>
        <w:rPr/>
        <w:t>Actions</w:t>
      </w:r>
      <w:r>
        <w:rPr>
          <w:spacing w:val="-3"/>
        </w:rPr>
        <w:t> </w:t>
      </w:r>
      <w:r>
        <w:rPr/>
        <w:t>Arising</w:t>
        <w:tab/>
        <w:t>Lead</w:t>
      </w:r>
    </w:p>
    <w:p>
      <w:pPr>
        <w:pStyle w:val="BodyText"/>
        <w:rPr>
          <w:b/>
        </w:rPr>
      </w:pPr>
    </w:p>
    <w:p>
      <w:pPr>
        <w:pStyle w:val="ListParagraph"/>
        <w:numPr>
          <w:ilvl w:val="0"/>
          <w:numId w:val="1"/>
        </w:numPr>
        <w:tabs>
          <w:tab w:pos="1005" w:val="left" w:leader="none"/>
          <w:tab w:pos="1006" w:val="left" w:leader="none"/>
        </w:tabs>
        <w:spacing w:line="240" w:lineRule="auto" w:before="0" w:after="0"/>
        <w:ind w:left="1005" w:right="0" w:hanging="593"/>
        <w:jc w:val="left"/>
        <w:rPr>
          <w:b/>
          <w:sz w:val="22"/>
        </w:rPr>
      </w:pPr>
      <w:r>
        <w:rPr>
          <w:b/>
          <w:sz w:val="22"/>
        </w:rPr>
        <w:t>Political</w:t>
      </w:r>
      <w:r>
        <w:rPr>
          <w:b/>
          <w:spacing w:val="-3"/>
          <w:sz w:val="22"/>
        </w:rPr>
        <w:t> </w:t>
      </w:r>
      <w:r>
        <w:rPr>
          <w:b/>
          <w:sz w:val="22"/>
        </w:rPr>
        <w:t>Update</w:t>
      </w:r>
    </w:p>
    <w:p>
      <w:pPr>
        <w:pStyle w:val="BodyText"/>
        <w:spacing w:before="1"/>
        <w:ind w:left="1005" w:right="1430"/>
        <w:jc w:val="both"/>
      </w:pPr>
      <w:r>
        <w:rPr/>
        <w:t>PA welcomed the group and asked for introductions. It was reaffirmed that central government remain keen for the project to make progress and have become increasingly interested in developments.</w:t>
      </w:r>
    </w:p>
    <w:p>
      <w:pPr>
        <w:pStyle w:val="BodyText"/>
        <w:spacing w:before="1"/>
      </w:pPr>
    </w:p>
    <w:p>
      <w:pPr>
        <w:pStyle w:val="Heading1"/>
        <w:numPr>
          <w:ilvl w:val="0"/>
          <w:numId w:val="1"/>
        </w:numPr>
        <w:tabs>
          <w:tab w:pos="1005" w:val="left" w:leader="none"/>
          <w:tab w:pos="1006" w:val="left" w:leader="none"/>
        </w:tabs>
        <w:spacing w:line="240" w:lineRule="auto" w:before="0" w:after="0"/>
        <w:ind w:left="1005" w:right="0" w:hanging="593"/>
        <w:jc w:val="left"/>
      </w:pPr>
      <w:r>
        <w:rPr/>
        <w:t>Project</w:t>
      </w:r>
      <w:r>
        <w:rPr>
          <w:spacing w:val="-1"/>
        </w:rPr>
        <w:t> </w:t>
      </w:r>
      <w:r>
        <w:rPr/>
        <w:t>Update</w:t>
      </w:r>
    </w:p>
    <w:p>
      <w:pPr>
        <w:pStyle w:val="BodyText"/>
        <w:ind w:left="1005" w:right="1416"/>
      </w:pPr>
      <w:r>
        <w:rPr/>
        <w:t>JB provided a presentation stating that the application had been accepted by the planning inspectorate which was a significant accomplishment for all who had been involved particularly the public who engaged in the consultation.</w:t>
      </w:r>
    </w:p>
    <w:p>
      <w:pPr>
        <w:pStyle w:val="BodyText"/>
        <w:spacing w:before="11"/>
        <w:rPr>
          <w:sz w:val="21"/>
        </w:rPr>
      </w:pPr>
    </w:p>
    <w:p>
      <w:pPr>
        <w:pStyle w:val="BodyText"/>
        <w:ind w:left="1005" w:right="1459"/>
      </w:pPr>
      <w:r>
        <w:rPr/>
        <w:t>The Section 56 consultation has now commenced with approximately 3000 letters sent to interested parties, including the media, detailing how to register to the examination process.</w:t>
      </w:r>
    </w:p>
    <w:p>
      <w:pPr>
        <w:pStyle w:val="BodyText"/>
        <w:spacing w:before="1"/>
      </w:pPr>
    </w:p>
    <w:p>
      <w:pPr>
        <w:pStyle w:val="BodyText"/>
        <w:ind w:left="1005" w:right="1365"/>
      </w:pPr>
      <w:r>
        <w:rPr/>
        <w:t>JB stated that the next big step will be procurement of the design &amp; build contract and confirmed the shortlist had been reduced to three high quality bids. It was confirmed that all bids are looking to set up operations in Lowestoft. This would help to provide a presence and location for the public to speak to members of the team for information.</w:t>
      </w:r>
    </w:p>
    <w:p>
      <w:pPr>
        <w:pStyle w:val="BodyText"/>
      </w:pPr>
    </w:p>
    <w:p>
      <w:pPr>
        <w:pStyle w:val="BodyText"/>
        <w:ind w:left="1005" w:right="1611"/>
      </w:pPr>
      <w:r>
        <w:rPr/>
        <w:t>PB enquired about the risk of rising material costs, particularly in steel. JB confirmed that inflation in construction costs had been factored into the overall budget. Through the detailed design phase, the opportunity for savings via such methods as taking advantage of planned service outages can be made.</w:t>
      </w:r>
    </w:p>
    <w:p>
      <w:pPr>
        <w:pStyle w:val="BodyText"/>
        <w:spacing w:before="11"/>
        <w:rPr>
          <w:sz w:val="21"/>
        </w:rPr>
      </w:pPr>
    </w:p>
    <w:p>
      <w:pPr>
        <w:pStyle w:val="Heading1"/>
        <w:numPr>
          <w:ilvl w:val="0"/>
          <w:numId w:val="1"/>
        </w:numPr>
        <w:tabs>
          <w:tab w:pos="1005" w:val="left" w:leader="none"/>
          <w:tab w:pos="1006" w:val="left" w:leader="none"/>
        </w:tabs>
        <w:spacing w:line="240" w:lineRule="auto" w:before="0" w:after="0"/>
        <w:ind w:left="1005" w:right="0" w:hanging="593"/>
        <w:jc w:val="left"/>
      </w:pPr>
      <w:r>
        <w:rPr/>
        <w:t>Examination</w:t>
      </w:r>
    </w:p>
    <w:p>
      <w:pPr>
        <w:pStyle w:val="BodyText"/>
        <w:ind w:left="1005" w:right="1995"/>
      </w:pPr>
      <w:r>
        <w:rPr/>
        <w:t>JB updated on the examination process confirming that the project is currently in the ‘pre-examination’ phase.</w:t>
      </w:r>
    </w:p>
    <w:p>
      <w:pPr>
        <w:pStyle w:val="BodyText"/>
        <w:spacing w:before="1"/>
      </w:pPr>
    </w:p>
    <w:p>
      <w:pPr>
        <w:pStyle w:val="BodyText"/>
        <w:spacing w:before="1"/>
        <w:ind w:left="1005" w:right="1402"/>
      </w:pPr>
      <w:r>
        <w:rPr/>
        <w:t>JB added that several venues in Lowestoft had been shared with the planning inspectorate which could be potential venues for hearings. Once concluded, there will be a three month period for the report to be finalised. The Secretary of State will then have three months to review the recommendation and make their final decision.</w:t>
      </w:r>
    </w:p>
    <w:p>
      <w:pPr>
        <w:pStyle w:val="BodyText"/>
        <w:spacing w:before="11"/>
        <w:rPr>
          <w:sz w:val="21"/>
        </w:rPr>
      </w:pPr>
    </w:p>
    <w:p>
      <w:pPr>
        <w:pStyle w:val="BodyText"/>
        <w:ind w:left="1005" w:right="1553"/>
      </w:pPr>
      <w:r>
        <w:rPr/>
        <w:t>JB requested that the link to the website detailing the process (including a short 6 minute video) is shared to the group for circulation. JB added that</w:t>
      </w:r>
    </w:p>
    <w:p>
      <w:pPr>
        <w:spacing w:after="0"/>
        <w:sectPr>
          <w:type w:val="continuous"/>
          <w:pgSz w:w="11910" w:h="16840"/>
          <w:pgMar w:top="1060" w:bottom="280" w:left="1340" w:right="138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
        <w:gridCol w:w="7323"/>
        <w:gridCol w:w="754"/>
      </w:tblGrid>
      <w:tr>
        <w:trPr>
          <w:trHeight w:val="915" w:hRule="atLeast"/>
        </w:trPr>
        <w:tc>
          <w:tcPr>
            <w:tcW w:w="582" w:type="dxa"/>
          </w:tcPr>
          <w:p>
            <w:pPr>
              <w:pStyle w:val="TableParagraph"/>
              <w:rPr>
                <w:rFonts w:ascii="Times New Roman"/>
                <w:sz w:val="22"/>
              </w:rPr>
            </w:pPr>
          </w:p>
        </w:tc>
        <w:tc>
          <w:tcPr>
            <w:tcW w:w="7323" w:type="dxa"/>
          </w:tcPr>
          <w:p>
            <w:pPr>
              <w:pStyle w:val="TableParagraph"/>
              <w:spacing w:line="225" w:lineRule="exact"/>
              <w:ind w:left="210"/>
              <w:rPr>
                <w:sz w:val="22"/>
              </w:rPr>
            </w:pPr>
            <w:r>
              <w:rPr>
                <w:sz w:val="22"/>
              </w:rPr>
              <w:t>having a NSIP project in Lowestoft was a huge opportunity for learning</w:t>
            </w:r>
          </w:p>
          <w:p>
            <w:pPr>
              <w:pStyle w:val="TableParagraph"/>
              <w:ind w:left="210" w:right="522"/>
              <w:rPr>
                <w:sz w:val="22"/>
              </w:rPr>
            </w:pPr>
            <w:r>
              <w:rPr>
                <w:sz w:val="22"/>
              </w:rPr>
              <w:t>through experience and relevant parties should be encouraged to see the process first hand.</w:t>
            </w:r>
          </w:p>
        </w:tc>
        <w:tc>
          <w:tcPr>
            <w:tcW w:w="754" w:type="dxa"/>
          </w:tcPr>
          <w:p>
            <w:pPr>
              <w:pStyle w:val="TableParagraph"/>
              <w:rPr>
                <w:rFonts w:ascii="Times New Roman"/>
                <w:sz w:val="22"/>
              </w:rPr>
            </w:pPr>
          </w:p>
        </w:tc>
      </w:tr>
      <w:tr>
        <w:trPr>
          <w:trHeight w:val="402" w:hRule="atLeast"/>
        </w:trPr>
        <w:tc>
          <w:tcPr>
            <w:tcW w:w="582" w:type="dxa"/>
          </w:tcPr>
          <w:p>
            <w:pPr>
              <w:pStyle w:val="TableParagraph"/>
              <w:rPr>
                <w:rFonts w:ascii="Times New Roman"/>
                <w:sz w:val="22"/>
              </w:rPr>
            </w:pPr>
          </w:p>
        </w:tc>
        <w:tc>
          <w:tcPr>
            <w:tcW w:w="7323" w:type="dxa"/>
          </w:tcPr>
          <w:p>
            <w:pPr>
              <w:pStyle w:val="TableParagraph"/>
              <w:rPr>
                <w:rFonts w:ascii="Times New Roman"/>
                <w:sz w:val="22"/>
              </w:rPr>
            </w:pPr>
          </w:p>
        </w:tc>
        <w:tc>
          <w:tcPr>
            <w:tcW w:w="754" w:type="dxa"/>
          </w:tcPr>
          <w:p>
            <w:pPr>
              <w:pStyle w:val="TableParagraph"/>
              <w:spacing w:before="113"/>
              <w:ind w:right="197"/>
              <w:jc w:val="right"/>
              <w:rPr>
                <w:b/>
                <w:sz w:val="22"/>
              </w:rPr>
            </w:pPr>
            <w:r>
              <w:rPr>
                <w:b/>
                <w:sz w:val="22"/>
              </w:rPr>
              <w:t>GB</w:t>
            </w:r>
          </w:p>
        </w:tc>
      </w:tr>
      <w:tr>
        <w:trPr>
          <w:trHeight w:val="7655" w:hRule="atLeast"/>
        </w:trPr>
        <w:tc>
          <w:tcPr>
            <w:tcW w:w="582" w:type="dxa"/>
          </w:tcPr>
          <w:p>
            <w:pPr>
              <w:pStyle w:val="TableParagraph"/>
              <w:spacing w:line="249" w:lineRule="exact"/>
              <w:ind w:left="181" w:right="189"/>
              <w:jc w:val="center"/>
              <w:rPr>
                <w:b/>
                <w:sz w:val="22"/>
              </w:rPr>
            </w:pPr>
            <w:r>
              <w:rPr>
                <w:b/>
                <w:sz w:val="22"/>
              </w:rPr>
              <w:t>4.</w:t>
            </w:r>
          </w:p>
        </w:tc>
        <w:tc>
          <w:tcPr>
            <w:tcW w:w="7323" w:type="dxa"/>
          </w:tcPr>
          <w:p>
            <w:pPr>
              <w:pStyle w:val="TableParagraph"/>
              <w:spacing w:line="249" w:lineRule="exact"/>
              <w:ind w:left="210"/>
              <w:rPr>
                <w:b/>
                <w:sz w:val="22"/>
              </w:rPr>
            </w:pPr>
            <w:r>
              <w:rPr>
                <w:b/>
                <w:sz w:val="22"/>
              </w:rPr>
              <w:t>Key Risks</w:t>
            </w:r>
          </w:p>
          <w:p>
            <w:pPr>
              <w:pStyle w:val="TableParagraph"/>
              <w:ind w:left="210" w:right="459"/>
              <w:rPr>
                <w:sz w:val="22"/>
              </w:rPr>
            </w:pPr>
            <w:r>
              <w:rPr>
                <w:sz w:val="22"/>
              </w:rPr>
              <w:t>JB provided an overview of the latest strategy risks stating that these have not changed dramatically from last meeting.</w:t>
            </w:r>
          </w:p>
          <w:p>
            <w:pPr>
              <w:pStyle w:val="TableParagraph"/>
              <w:rPr>
                <w:sz w:val="22"/>
              </w:rPr>
            </w:pPr>
          </w:p>
          <w:p>
            <w:pPr>
              <w:pStyle w:val="TableParagraph"/>
              <w:spacing w:before="1"/>
              <w:ind w:left="210" w:right="355"/>
              <w:rPr>
                <w:sz w:val="22"/>
              </w:rPr>
            </w:pPr>
            <w:r>
              <w:rPr>
                <w:sz w:val="22"/>
              </w:rPr>
              <w:t>The flood protection scheme timeline has been slightly amended meaning there is less likelihood that construction periods will not impact each other. As a result this risk has been moved from amber to green but will require monitoring.</w:t>
            </w:r>
          </w:p>
          <w:p>
            <w:pPr>
              <w:pStyle w:val="TableParagraph"/>
              <w:spacing w:before="11"/>
              <w:rPr>
                <w:sz w:val="21"/>
              </w:rPr>
            </w:pPr>
          </w:p>
          <w:p>
            <w:pPr>
              <w:pStyle w:val="TableParagraph"/>
              <w:ind w:left="210" w:right="411"/>
              <w:rPr>
                <w:sz w:val="22"/>
              </w:rPr>
            </w:pPr>
            <w:r>
              <w:rPr>
                <w:sz w:val="22"/>
              </w:rPr>
              <w:t>The DCO submission has been shown as green as it relates to the preparation of the application, however, it will move to amber as we await the decision.</w:t>
            </w:r>
          </w:p>
          <w:p>
            <w:pPr>
              <w:pStyle w:val="TableParagraph"/>
              <w:spacing w:before="1"/>
              <w:rPr>
                <w:sz w:val="22"/>
              </w:rPr>
            </w:pPr>
          </w:p>
          <w:p>
            <w:pPr>
              <w:pStyle w:val="TableParagraph"/>
              <w:ind w:left="210" w:right="378"/>
              <w:jc w:val="both"/>
              <w:rPr>
                <w:sz w:val="22"/>
              </w:rPr>
            </w:pPr>
            <w:r>
              <w:rPr>
                <w:sz w:val="22"/>
              </w:rPr>
              <w:t>MH asked if the contingency budget took into account all risk? JB explained the relationship between risk and other headings of the budget and that as more detailed information in known risk therefore reduces.</w:t>
            </w:r>
          </w:p>
          <w:p>
            <w:pPr>
              <w:pStyle w:val="TableParagraph"/>
              <w:spacing w:before="1"/>
              <w:rPr>
                <w:sz w:val="22"/>
              </w:rPr>
            </w:pPr>
          </w:p>
          <w:p>
            <w:pPr>
              <w:pStyle w:val="TableParagraph"/>
              <w:ind w:left="210" w:right="327"/>
              <w:rPr>
                <w:sz w:val="22"/>
              </w:rPr>
            </w:pPr>
            <w:r>
              <w:rPr>
                <w:sz w:val="22"/>
              </w:rPr>
              <w:t>PAg clarified ABPs position stating they are supportive of the bridge, however, they have concerns around its location and there are challenges to overcome. Communications have improved they are working with SCC to overcome the issues.</w:t>
            </w:r>
          </w:p>
          <w:p>
            <w:pPr>
              <w:pStyle w:val="TableParagraph"/>
              <w:spacing w:before="11"/>
              <w:rPr>
                <w:sz w:val="21"/>
              </w:rPr>
            </w:pPr>
          </w:p>
          <w:p>
            <w:pPr>
              <w:pStyle w:val="TableParagraph"/>
              <w:ind w:left="210" w:right="391"/>
              <w:rPr>
                <w:sz w:val="22"/>
              </w:rPr>
            </w:pPr>
            <w:r>
              <w:rPr>
                <w:sz w:val="22"/>
              </w:rPr>
              <w:t>PB questions whether night shifts would be utilised to minimise disruption. JB confirmed this would be unlikely due to the noise and other effects this would have on residents near by. A Transport Management Plan will be created to mitigate disruption where possible; however, there will be unavoidable circumstances such as the construction of the connecting roundabouts.</w:t>
            </w:r>
          </w:p>
        </w:tc>
        <w:tc>
          <w:tcPr>
            <w:tcW w:w="754" w:type="dxa"/>
          </w:tcPr>
          <w:p>
            <w:pPr>
              <w:pStyle w:val="TableParagraph"/>
              <w:rPr>
                <w:rFonts w:ascii="Times New Roman"/>
                <w:sz w:val="22"/>
              </w:rPr>
            </w:pPr>
          </w:p>
        </w:tc>
      </w:tr>
      <w:tr>
        <w:trPr>
          <w:trHeight w:val="1342" w:hRule="atLeast"/>
        </w:trPr>
        <w:tc>
          <w:tcPr>
            <w:tcW w:w="582" w:type="dxa"/>
          </w:tcPr>
          <w:p>
            <w:pPr>
              <w:pStyle w:val="TableParagraph"/>
              <w:spacing w:before="113"/>
              <w:ind w:left="181" w:right="189"/>
              <w:jc w:val="center"/>
              <w:rPr>
                <w:b/>
                <w:sz w:val="22"/>
              </w:rPr>
            </w:pPr>
            <w:r>
              <w:rPr>
                <w:b/>
                <w:sz w:val="22"/>
              </w:rPr>
              <w:t>5.</w:t>
            </w:r>
          </w:p>
        </w:tc>
        <w:tc>
          <w:tcPr>
            <w:tcW w:w="7323" w:type="dxa"/>
          </w:tcPr>
          <w:p>
            <w:pPr>
              <w:pStyle w:val="TableParagraph"/>
              <w:spacing w:before="113"/>
              <w:ind w:left="210"/>
              <w:rPr>
                <w:b/>
                <w:sz w:val="22"/>
              </w:rPr>
            </w:pPr>
            <w:r>
              <w:rPr>
                <w:b/>
                <w:sz w:val="22"/>
              </w:rPr>
              <w:t>Communications</w:t>
            </w:r>
          </w:p>
          <w:p>
            <w:pPr>
              <w:pStyle w:val="TableParagraph"/>
              <w:ind w:left="210" w:right="366"/>
              <w:rPr>
                <w:sz w:val="22"/>
              </w:rPr>
            </w:pPr>
            <w:r>
              <w:rPr>
                <w:sz w:val="22"/>
              </w:rPr>
              <w:t>JB stated that a new communications plan was being produced for the post tender announcement and releases organised for the examination preliminary meeting.</w:t>
            </w:r>
          </w:p>
        </w:tc>
        <w:tc>
          <w:tcPr>
            <w:tcW w:w="754" w:type="dxa"/>
          </w:tcPr>
          <w:p>
            <w:pPr>
              <w:pStyle w:val="TableParagraph"/>
              <w:rPr>
                <w:rFonts w:ascii="Times New Roman"/>
                <w:sz w:val="22"/>
              </w:rPr>
            </w:pPr>
          </w:p>
        </w:tc>
      </w:tr>
      <w:tr>
        <w:trPr>
          <w:trHeight w:val="1074" w:hRule="atLeast"/>
        </w:trPr>
        <w:tc>
          <w:tcPr>
            <w:tcW w:w="582" w:type="dxa"/>
          </w:tcPr>
          <w:p>
            <w:pPr>
              <w:pStyle w:val="TableParagraph"/>
              <w:spacing w:before="114"/>
              <w:ind w:left="181" w:right="189"/>
              <w:jc w:val="center"/>
              <w:rPr>
                <w:b/>
                <w:sz w:val="22"/>
              </w:rPr>
            </w:pPr>
            <w:r>
              <w:rPr>
                <w:b/>
                <w:sz w:val="22"/>
              </w:rPr>
              <w:t>6.</w:t>
            </w:r>
          </w:p>
        </w:tc>
        <w:tc>
          <w:tcPr>
            <w:tcW w:w="7323" w:type="dxa"/>
            <w:vMerge w:val="restart"/>
          </w:tcPr>
          <w:p>
            <w:pPr>
              <w:pStyle w:val="TableParagraph"/>
              <w:spacing w:before="114"/>
              <w:ind w:left="210"/>
              <w:rPr>
                <w:b/>
                <w:sz w:val="22"/>
              </w:rPr>
            </w:pPr>
            <w:r>
              <w:rPr>
                <w:b/>
                <w:sz w:val="22"/>
              </w:rPr>
              <w:t>A.O.B</w:t>
            </w:r>
          </w:p>
          <w:p>
            <w:pPr>
              <w:pStyle w:val="TableParagraph"/>
              <w:ind w:left="210" w:right="416"/>
              <w:rPr>
                <w:sz w:val="22"/>
              </w:rPr>
            </w:pPr>
            <w:r>
              <w:rPr>
                <w:sz w:val="22"/>
              </w:rPr>
              <w:t>PA asked if discussions with Network Rail were taking place. JB confirmed that this was the case and that Network Rail are in agreement with heights and locations.</w:t>
            </w:r>
          </w:p>
          <w:p>
            <w:pPr>
              <w:pStyle w:val="TableParagraph"/>
              <w:spacing w:before="10"/>
              <w:rPr>
                <w:sz w:val="21"/>
              </w:rPr>
            </w:pPr>
          </w:p>
          <w:p>
            <w:pPr>
              <w:pStyle w:val="TableParagraph"/>
              <w:spacing w:line="270" w:lineRule="atLeast"/>
              <w:ind w:left="210" w:right="271"/>
              <w:rPr>
                <w:sz w:val="22"/>
              </w:rPr>
            </w:pPr>
            <w:r>
              <w:rPr>
                <w:sz w:val="22"/>
              </w:rPr>
              <w:t>MH raised concerns over attendance at the March and June meetings. GB to reschedule dates accordingly and circulate to the group.</w:t>
            </w:r>
          </w:p>
        </w:tc>
        <w:tc>
          <w:tcPr>
            <w:tcW w:w="754" w:type="dxa"/>
          </w:tcPr>
          <w:p>
            <w:pPr>
              <w:pStyle w:val="TableParagraph"/>
              <w:rPr>
                <w:rFonts w:ascii="Times New Roman"/>
                <w:sz w:val="22"/>
              </w:rPr>
            </w:pPr>
          </w:p>
        </w:tc>
      </w:tr>
      <w:tr>
        <w:trPr>
          <w:trHeight w:val="915" w:hRule="atLeast"/>
        </w:trPr>
        <w:tc>
          <w:tcPr>
            <w:tcW w:w="582" w:type="dxa"/>
          </w:tcPr>
          <w:p>
            <w:pPr>
              <w:pStyle w:val="TableParagraph"/>
              <w:rPr>
                <w:rFonts w:ascii="Times New Roman"/>
                <w:sz w:val="22"/>
              </w:rPr>
            </w:pPr>
          </w:p>
        </w:tc>
        <w:tc>
          <w:tcPr>
            <w:tcW w:w="7323" w:type="dxa"/>
            <w:vMerge/>
            <w:tcBorders>
              <w:top w:val="nil"/>
            </w:tcBorders>
          </w:tcPr>
          <w:p>
            <w:pPr>
              <w:rPr>
                <w:sz w:val="2"/>
                <w:szCs w:val="2"/>
              </w:rPr>
            </w:pPr>
          </w:p>
        </w:tc>
        <w:tc>
          <w:tcPr>
            <w:tcW w:w="754" w:type="dxa"/>
          </w:tcPr>
          <w:p>
            <w:pPr>
              <w:pStyle w:val="TableParagraph"/>
              <w:rPr>
                <w:sz w:val="22"/>
              </w:rPr>
            </w:pPr>
          </w:p>
          <w:p>
            <w:pPr>
              <w:pStyle w:val="TableParagraph"/>
              <w:spacing w:before="4"/>
              <w:rPr>
                <w:sz w:val="31"/>
              </w:rPr>
            </w:pPr>
          </w:p>
          <w:p>
            <w:pPr>
              <w:pStyle w:val="TableParagraph"/>
              <w:spacing w:line="245" w:lineRule="exact"/>
              <w:ind w:right="197"/>
              <w:jc w:val="right"/>
              <w:rPr>
                <w:b/>
                <w:sz w:val="22"/>
              </w:rPr>
            </w:pPr>
            <w:r>
              <w:rPr>
                <w:b/>
                <w:sz w:val="22"/>
              </w:rPr>
              <w:t>GB</w:t>
            </w:r>
          </w:p>
        </w:tc>
      </w:tr>
    </w:tbl>
    <w:sectPr>
      <w:pgSz w:w="11910" w:h="16840"/>
      <w:pgMar w:top="11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5" w:hanging="593"/>
        <w:jc w:val="left"/>
      </w:pPr>
      <w:rPr>
        <w:rFonts w:hint="default" w:ascii="Calibri" w:hAnsi="Calibri" w:eastAsia="Calibri" w:cs="Calibri"/>
        <w:b/>
        <w:bCs/>
        <w:w w:val="100"/>
        <w:sz w:val="22"/>
        <w:szCs w:val="22"/>
        <w:lang w:val="en-gb" w:eastAsia="en-gb" w:bidi="en-gb"/>
      </w:rPr>
    </w:lvl>
    <w:lvl w:ilvl="1">
      <w:start w:val="0"/>
      <w:numFmt w:val="bullet"/>
      <w:lvlText w:val="•"/>
      <w:lvlJc w:val="left"/>
      <w:pPr>
        <w:ind w:left="1818" w:hanging="593"/>
      </w:pPr>
      <w:rPr>
        <w:rFonts w:hint="default"/>
        <w:lang w:val="en-gb" w:eastAsia="en-gb" w:bidi="en-gb"/>
      </w:rPr>
    </w:lvl>
    <w:lvl w:ilvl="2">
      <w:start w:val="0"/>
      <w:numFmt w:val="bullet"/>
      <w:lvlText w:val="•"/>
      <w:lvlJc w:val="left"/>
      <w:pPr>
        <w:ind w:left="2637" w:hanging="593"/>
      </w:pPr>
      <w:rPr>
        <w:rFonts w:hint="default"/>
        <w:lang w:val="en-gb" w:eastAsia="en-gb" w:bidi="en-gb"/>
      </w:rPr>
    </w:lvl>
    <w:lvl w:ilvl="3">
      <w:start w:val="0"/>
      <w:numFmt w:val="bullet"/>
      <w:lvlText w:val="•"/>
      <w:lvlJc w:val="left"/>
      <w:pPr>
        <w:ind w:left="3455" w:hanging="593"/>
      </w:pPr>
      <w:rPr>
        <w:rFonts w:hint="default"/>
        <w:lang w:val="en-gb" w:eastAsia="en-gb" w:bidi="en-gb"/>
      </w:rPr>
    </w:lvl>
    <w:lvl w:ilvl="4">
      <w:start w:val="0"/>
      <w:numFmt w:val="bullet"/>
      <w:lvlText w:val="•"/>
      <w:lvlJc w:val="left"/>
      <w:pPr>
        <w:ind w:left="4274" w:hanging="593"/>
      </w:pPr>
      <w:rPr>
        <w:rFonts w:hint="default"/>
        <w:lang w:val="en-gb" w:eastAsia="en-gb" w:bidi="en-gb"/>
      </w:rPr>
    </w:lvl>
    <w:lvl w:ilvl="5">
      <w:start w:val="0"/>
      <w:numFmt w:val="bullet"/>
      <w:lvlText w:val="•"/>
      <w:lvlJc w:val="left"/>
      <w:pPr>
        <w:ind w:left="5093" w:hanging="593"/>
      </w:pPr>
      <w:rPr>
        <w:rFonts w:hint="default"/>
        <w:lang w:val="en-gb" w:eastAsia="en-gb" w:bidi="en-gb"/>
      </w:rPr>
    </w:lvl>
    <w:lvl w:ilvl="6">
      <w:start w:val="0"/>
      <w:numFmt w:val="bullet"/>
      <w:lvlText w:val="•"/>
      <w:lvlJc w:val="left"/>
      <w:pPr>
        <w:ind w:left="5911" w:hanging="593"/>
      </w:pPr>
      <w:rPr>
        <w:rFonts w:hint="default"/>
        <w:lang w:val="en-gb" w:eastAsia="en-gb" w:bidi="en-gb"/>
      </w:rPr>
    </w:lvl>
    <w:lvl w:ilvl="7">
      <w:start w:val="0"/>
      <w:numFmt w:val="bullet"/>
      <w:lvlText w:val="•"/>
      <w:lvlJc w:val="left"/>
      <w:pPr>
        <w:ind w:left="6730" w:hanging="593"/>
      </w:pPr>
      <w:rPr>
        <w:rFonts w:hint="default"/>
        <w:lang w:val="en-gb" w:eastAsia="en-gb" w:bidi="en-gb"/>
      </w:rPr>
    </w:lvl>
    <w:lvl w:ilvl="8">
      <w:start w:val="0"/>
      <w:numFmt w:val="bullet"/>
      <w:lvlText w:val="•"/>
      <w:lvlJc w:val="left"/>
      <w:pPr>
        <w:ind w:left="7549" w:hanging="593"/>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ind w:left="1005" w:hanging="593"/>
      <w:outlineLvl w:val="1"/>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1005" w:hanging="593"/>
    </w:pPr>
    <w:rPr>
      <w:rFonts w:ascii="Calibri" w:hAnsi="Calibri" w:eastAsia="Calibri" w:cs="Calibri"/>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Bellward</dc:creator>
  <dcterms:created xsi:type="dcterms:W3CDTF">2021-01-06T10:16:54Z</dcterms:created>
  <dcterms:modified xsi:type="dcterms:W3CDTF">2021-01-06T10:16:54Z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for Office 365</vt:lpwstr>
  </property>
  <property fmtid="{D5CDD505-2E9C-101B-9397-08002B2CF9AE}" pid="4" name="LastSaved">
    <vt:filetime>2021-01-06T00:00:00Z</vt:filetime>
  </property>
</Properties>
</file>