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10" w:val="left" w:leader="none"/>
        </w:tabs>
        <w:spacing w:line="240" w:lineRule="auto"/>
        <w:ind w:left="218" w:right="0" w:firstLine="0"/>
        <w:rPr>
          <w:rFonts w:ascii="Times New Roman"/>
          <w:sz w:val="20"/>
        </w:rPr>
      </w:pPr>
      <w:r>
        <w:rPr>
          <w:rFonts w:ascii="Times New Roman"/>
          <w:position w:val="3"/>
          <w:sz w:val="20"/>
        </w:rPr>
        <w:drawing>
          <wp:inline distT="0" distB="0" distL="0" distR="0">
            <wp:extent cx="1893607" cy="48463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93607" cy="484631"/>
                    </a:xfrm>
                    <a:prstGeom prst="rect">
                      <a:avLst/>
                    </a:prstGeom>
                  </pic:spPr>
                </pic:pic>
              </a:graphicData>
            </a:graphic>
          </wp:inline>
        </w:drawing>
      </w:r>
      <w:r>
        <w:rPr>
          <w:rFonts w:ascii="Times New Roman"/>
          <w:position w:val="3"/>
          <w:sz w:val="20"/>
        </w:rPr>
      </w:r>
      <w:r>
        <w:rPr>
          <w:rFonts w:ascii="Times New Roman"/>
          <w:position w:val="3"/>
          <w:sz w:val="20"/>
        </w:rPr>
        <w:tab/>
      </w:r>
      <w:r>
        <w:rPr>
          <w:rFonts w:ascii="Times New Roman"/>
          <w:sz w:val="20"/>
        </w:rPr>
        <w:drawing>
          <wp:inline distT="0" distB="0" distL="0" distR="0">
            <wp:extent cx="1614659" cy="490537"/>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614659" cy="49053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7"/>
        </w:rPr>
      </w:pPr>
    </w:p>
    <w:p>
      <w:pPr>
        <w:pStyle w:val="Heading1"/>
        <w:spacing w:before="88"/>
        <w:ind w:firstLine="0"/>
      </w:pPr>
      <w:r>
        <w:rPr/>
        <w:t>MINUTES</w:t>
      </w:r>
    </w:p>
    <w:p>
      <w:pPr>
        <w:pStyle w:val="BodyText"/>
        <w:spacing w:before="11"/>
        <w:rPr>
          <w:b/>
          <w:sz w:val="23"/>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29"/>
        <w:gridCol w:w="6520"/>
      </w:tblGrid>
      <w:tr>
        <w:trPr>
          <w:trHeight w:val="397" w:hRule="atLeast"/>
        </w:trPr>
        <w:tc>
          <w:tcPr>
            <w:tcW w:w="3229" w:type="dxa"/>
          </w:tcPr>
          <w:p>
            <w:pPr>
              <w:pStyle w:val="TableParagraph"/>
              <w:spacing w:before="62"/>
              <w:rPr>
                <w:b/>
                <w:sz w:val="24"/>
              </w:rPr>
            </w:pPr>
            <w:r>
              <w:rPr>
                <w:b/>
                <w:sz w:val="24"/>
              </w:rPr>
              <w:t>Title of Meeting:</w:t>
            </w:r>
          </w:p>
        </w:tc>
        <w:tc>
          <w:tcPr>
            <w:tcW w:w="6520" w:type="dxa"/>
          </w:tcPr>
          <w:p>
            <w:pPr>
              <w:pStyle w:val="TableParagraph"/>
              <w:spacing w:before="62"/>
              <w:rPr>
                <w:sz w:val="24"/>
              </w:rPr>
            </w:pPr>
            <w:r>
              <w:rPr>
                <w:sz w:val="24"/>
              </w:rPr>
              <w:t>Lake Lothing Third Crossing – Stakeholder Meeting</w:t>
            </w:r>
          </w:p>
        </w:tc>
      </w:tr>
      <w:tr>
        <w:trPr>
          <w:trHeight w:val="395" w:hRule="atLeast"/>
        </w:trPr>
        <w:tc>
          <w:tcPr>
            <w:tcW w:w="3229" w:type="dxa"/>
          </w:tcPr>
          <w:p>
            <w:pPr>
              <w:pStyle w:val="TableParagraph"/>
              <w:spacing w:before="60"/>
              <w:rPr>
                <w:b/>
                <w:sz w:val="24"/>
              </w:rPr>
            </w:pPr>
            <w:r>
              <w:rPr>
                <w:b/>
                <w:sz w:val="24"/>
              </w:rPr>
              <w:t>Purpose or Mandate:</w:t>
            </w:r>
          </w:p>
        </w:tc>
        <w:tc>
          <w:tcPr>
            <w:tcW w:w="6520" w:type="dxa"/>
          </w:tcPr>
          <w:p>
            <w:pPr>
              <w:pStyle w:val="TableParagraph"/>
              <w:ind w:left="0"/>
              <w:rPr>
                <w:rFonts w:ascii="Times New Roman"/>
                <w:sz w:val="22"/>
              </w:rPr>
            </w:pPr>
          </w:p>
        </w:tc>
      </w:tr>
      <w:tr>
        <w:trPr>
          <w:trHeight w:val="395" w:hRule="atLeast"/>
        </w:trPr>
        <w:tc>
          <w:tcPr>
            <w:tcW w:w="3229" w:type="dxa"/>
          </w:tcPr>
          <w:p>
            <w:pPr>
              <w:pStyle w:val="TableParagraph"/>
              <w:spacing w:before="60"/>
              <w:rPr>
                <w:b/>
                <w:sz w:val="24"/>
              </w:rPr>
            </w:pPr>
            <w:r>
              <w:rPr>
                <w:b/>
                <w:sz w:val="24"/>
              </w:rPr>
              <w:t>Date:</w:t>
            </w:r>
          </w:p>
        </w:tc>
        <w:tc>
          <w:tcPr>
            <w:tcW w:w="6520" w:type="dxa"/>
          </w:tcPr>
          <w:p>
            <w:pPr>
              <w:pStyle w:val="TableParagraph"/>
              <w:spacing w:before="55"/>
              <w:rPr>
                <w:sz w:val="24"/>
              </w:rPr>
            </w:pPr>
            <w:r>
              <w:rPr>
                <w:sz w:val="24"/>
              </w:rPr>
              <w:t>Friday 15</w:t>
            </w:r>
            <w:r>
              <w:rPr>
                <w:position w:val="8"/>
                <w:sz w:val="16"/>
              </w:rPr>
              <w:t>th </w:t>
            </w:r>
            <w:r>
              <w:rPr>
                <w:sz w:val="24"/>
              </w:rPr>
              <w:t>December 2017</w:t>
            </w:r>
          </w:p>
        </w:tc>
      </w:tr>
      <w:tr>
        <w:trPr>
          <w:trHeight w:val="395" w:hRule="atLeast"/>
        </w:trPr>
        <w:tc>
          <w:tcPr>
            <w:tcW w:w="3229" w:type="dxa"/>
          </w:tcPr>
          <w:p>
            <w:pPr>
              <w:pStyle w:val="TableParagraph"/>
              <w:spacing w:before="60"/>
              <w:rPr>
                <w:b/>
                <w:sz w:val="24"/>
              </w:rPr>
            </w:pPr>
            <w:r>
              <w:rPr>
                <w:b/>
                <w:sz w:val="24"/>
              </w:rPr>
              <w:t>Place:</w:t>
            </w:r>
          </w:p>
        </w:tc>
        <w:tc>
          <w:tcPr>
            <w:tcW w:w="6520" w:type="dxa"/>
          </w:tcPr>
          <w:p>
            <w:pPr>
              <w:pStyle w:val="TableParagraph"/>
              <w:spacing w:before="60"/>
              <w:rPr>
                <w:sz w:val="24"/>
              </w:rPr>
            </w:pPr>
            <w:r>
              <w:rPr>
                <w:sz w:val="24"/>
              </w:rPr>
              <w:t>Riverside, Room RS-G01S</w:t>
            </w:r>
          </w:p>
        </w:tc>
      </w:tr>
      <w:tr>
        <w:trPr>
          <w:trHeight w:val="397" w:hRule="atLeast"/>
        </w:trPr>
        <w:tc>
          <w:tcPr>
            <w:tcW w:w="3229" w:type="dxa"/>
          </w:tcPr>
          <w:p>
            <w:pPr>
              <w:pStyle w:val="TableParagraph"/>
              <w:spacing w:before="62"/>
              <w:rPr>
                <w:b/>
                <w:sz w:val="24"/>
              </w:rPr>
            </w:pPr>
            <w:r>
              <w:rPr>
                <w:b/>
                <w:sz w:val="24"/>
              </w:rPr>
              <w:t>Times:</w:t>
            </w:r>
          </w:p>
        </w:tc>
        <w:tc>
          <w:tcPr>
            <w:tcW w:w="6520" w:type="dxa"/>
          </w:tcPr>
          <w:p>
            <w:pPr>
              <w:pStyle w:val="TableParagraph"/>
              <w:spacing w:before="62"/>
              <w:rPr>
                <w:sz w:val="24"/>
              </w:rPr>
            </w:pPr>
            <w:r>
              <w:rPr>
                <w:sz w:val="24"/>
              </w:rPr>
              <w:t>10:00-12:30</w:t>
            </w:r>
          </w:p>
        </w:tc>
      </w:tr>
      <w:tr>
        <w:trPr>
          <w:trHeight w:val="7419" w:hRule="atLeast"/>
        </w:trPr>
        <w:tc>
          <w:tcPr>
            <w:tcW w:w="3229" w:type="dxa"/>
          </w:tcPr>
          <w:p>
            <w:pPr>
              <w:pStyle w:val="TableParagraph"/>
              <w:spacing w:before="60"/>
              <w:rPr>
                <w:b/>
                <w:sz w:val="24"/>
              </w:rPr>
            </w:pPr>
            <w:r>
              <w:rPr>
                <w:b/>
                <w:sz w:val="24"/>
              </w:rPr>
              <w:t>Attended:</w:t>
            </w:r>
          </w:p>
        </w:tc>
        <w:tc>
          <w:tcPr>
            <w:tcW w:w="6520" w:type="dxa"/>
          </w:tcPr>
          <w:p>
            <w:pPr>
              <w:pStyle w:val="TableParagraph"/>
              <w:rPr>
                <w:sz w:val="24"/>
              </w:rPr>
            </w:pPr>
            <w:r>
              <w:rPr>
                <w:b/>
                <w:sz w:val="24"/>
              </w:rPr>
              <w:t>Peter Aldous </w:t>
            </w:r>
            <w:r>
              <w:rPr>
                <w:sz w:val="24"/>
              </w:rPr>
              <w:t>(PA), Chair and MP for Waveney</w:t>
            </w:r>
          </w:p>
          <w:p>
            <w:pPr>
              <w:pStyle w:val="TableParagraph"/>
              <w:spacing w:before="1"/>
              <w:ind w:right="842"/>
              <w:rPr>
                <w:sz w:val="24"/>
              </w:rPr>
            </w:pPr>
            <w:r>
              <w:rPr>
                <w:b/>
                <w:sz w:val="24"/>
              </w:rPr>
              <w:t>Cllr Mark Bee </w:t>
            </w:r>
            <w:r>
              <w:rPr>
                <w:sz w:val="24"/>
              </w:rPr>
              <w:t>(MB), County Councillor for SCC and Leader for WDC</w:t>
            </w:r>
          </w:p>
          <w:p>
            <w:pPr>
              <w:pStyle w:val="TableParagraph"/>
              <w:rPr>
                <w:sz w:val="24"/>
              </w:rPr>
            </w:pPr>
            <w:r>
              <w:rPr>
                <w:b/>
                <w:sz w:val="24"/>
              </w:rPr>
              <w:t>Cllr Colin Noble </w:t>
            </w:r>
            <w:r>
              <w:rPr>
                <w:sz w:val="24"/>
              </w:rPr>
              <w:t>(CN), Leader of Suffolk County Council</w:t>
            </w:r>
          </w:p>
          <w:p>
            <w:pPr>
              <w:pStyle w:val="TableParagraph"/>
              <w:rPr>
                <w:sz w:val="24"/>
              </w:rPr>
            </w:pPr>
            <w:r>
              <w:rPr>
                <w:b/>
                <w:sz w:val="24"/>
              </w:rPr>
              <w:t>Cllr Alice Taylor </w:t>
            </w:r>
            <w:r>
              <w:rPr>
                <w:sz w:val="24"/>
              </w:rPr>
              <w:t>(AT), Lowestoft Town Council</w:t>
            </w:r>
          </w:p>
          <w:p>
            <w:pPr>
              <w:pStyle w:val="TableParagraph"/>
              <w:spacing w:line="276" w:lineRule="auto" w:before="40"/>
              <w:ind w:right="562"/>
              <w:rPr>
                <w:sz w:val="24"/>
              </w:rPr>
            </w:pPr>
            <w:r>
              <w:rPr>
                <w:b/>
                <w:sz w:val="24"/>
              </w:rPr>
              <w:t>Cllr David Ritchie </w:t>
            </w:r>
            <w:r>
              <w:rPr>
                <w:sz w:val="24"/>
              </w:rPr>
              <w:t>(DR), Cabinet Member for Planning and Coastal Management, WDC</w:t>
            </w:r>
          </w:p>
          <w:p>
            <w:pPr>
              <w:pStyle w:val="TableParagraph"/>
              <w:spacing w:before="2"/>
              <w:ind w:right="82"/>
              <w:rPr>
                <w:sz w:val="24"/>
              </w:rPr>
            </w:pPr>
            <w:r>
              <w:rPr>
                <w:b/>
                <w:sz w:val="24"/>
              </w:rPr>
              <w:t>Cllr Michael Ladd, </w:t>
            </w:r>
            <w:r>
              <w:rPr>
                <w:sz w:val="24"/>
              </w:rPr>
              <w:t>County Councillor for SCC and Cabinet Member for WDC</w:t>
            </w:r>
          </w:p>
          <w:p>
            <w:pPr>
              <w:pStyle w:val="TableParagraph"/>
              <w:rPr>
                <w:sz w:val="24"/>
              </w:rPr>
            </w:pPr>
            <w:r>
              <w:rPr>
                <w:b/>
                <w:sz w:val="24"/>
              </w:rPr>
              <w:t>Jon Barnard </w:t>
            </w:r>
            <w:r>
              <w:rPr>
                <w:sz w:val="24"/>
              </w:rPr>
              <w:t>(JB), Project Manager, SCC</w:t>
            </w:r>
          </w:p>
          <w:p>
            <w:pPr>
              <w:pStyle w:val="TableParagraph"/>
              <w:rPr>
                <w:sz w:val="24"/>
              </w:rPr>
            </w:pPr>
            <w:r>
              <w:rPr>
                <w:b/>
                <w:sz w:val="24"/>
              </w:rPr>
              <w:t>Andy Jarvis </w:t>
            </w:r>
            <w:r>
              <w:rPr>
                <w:sz w:val="24"/>
              </w:rPr>
              <w:t>(AJ), WDC Strategic Director</w:t>
            </w:r>
          </w:p>
          <w:p>
            <w:pPr>
              <w:pStyle w:val="TableParagraph"/>
              <w:ind w:right="136"/>
              <w:rPr>
                <w:sz w:val="24"/>
              </w:rPr>
            </w:pPr>
            <w:r>
              <w:rPr>
                <w:b/>
                <w:sz w:val="24"/>
              </w:rPr>
              <w:t>Bryn Griffiths </w:t>
            </w:r>
            <w:r>
              <w:rPr>
                <w:sz w:val="24"/>
              </w:rPr>
              <w:t>(BG), Assistant Director for Economy, Skills and the Environment, SCC</w:t>
            </w:r>
          </w:p>
          <w:p>
            <w:pPr>
              <w:pStyle w:val="TableParagraph"/>
              <w:ind w:right="189"/>
              <w:rPr>
                <w:sz w:val="24"/>
              </w:rPr>
            </w:pPr>
            <w:r>
              <w:rPr>
                <w:b/>
                <w:sz w:val="24"/>
              </w:rPr>
              <w:t>Callum Maclean </w:t>
            </w:r>
            <w:r>
              <w:rPr>
                <w:sz w:val="24"/>
              </w:rPr>
              <w:t>(CM), Strategic Communications Officer, SCC</w:t>
            </w:r>
          </w:p>
          <w:p>
            <w:pPr>
              <w:pStyle w:val="TableParagraph"/>
              <w:ind w:right="203"/>
              <w:rPr>
                <w:sz w:val="24"/>
              </w:rPr>
            </w:pPr>
            <w:r>
              <w:rPr>
                <w:b/>
                <w:sz w:val="24"/>
              </w:rPr>
              <w:t>Katherine Merlo </w:t>
            </w:r>
            <w:r>
              <w:rPr>
                <w:sz w:val="24"/>
              </w:rPr>
              <w:t>(KM), Strategic Communications Officer, SCC</w:t>
            </w:r>
          </w:p>
          <w:p>
            <w:pPr>
              <w:pStyle w:val="TableParagraph"/>
              <w:spacing w:line="275" w:lineRule="exact"/>
              <w:rPr>
                <w:sz w:val="24"/>
              </w:rPr>
            </w:pPr>
            <w:r>
              <w:rPr>
                <w:b/>
                <w:sz w:val="24"/>
              </w:rPr>
              <w:t>Mike Dowdall </w:t>
            </w:r>
            <w:r>
              <w:rPr>
                <w:sz w:val="24"/>
              </w:rPr>
              <w:t>(MD), Economic Development Team, SCC</w:t>
            </w:r>
          </w:p>
          <w:p>
            <w:pPr>
              <w:pStyle w:val="TableParagraph"/>
              <w:spacing w:line="275" w:lineRule="exact"/>
              <w:rPr>
                <w:sz w:val="24"/>
              </w:rPr>
            </w:pPr>
            <w:r>
              <w:rPr>
                <w:b/>
                <w:sz w:val="24"/>
              </w:rPr>
              <w:t>Richard Musgrove </w:t>
            </w:r>
            <w:r>
              <w:rPr>
                <w:sz w:val="24"/>
              </w:rPr>
              <w:t>(RM), ABP</w:t>
            </w:r>
          </w:p>
          <w:p>
            <w:pPr>
              <w:pStyle w:val="TableParagraph"/>
              <w:ind w:right="562"/>
              <w:rPr>
                <w:sz w:val="24"/>
              </w:rPr>
            </w:pPr>
            <w:r>
              <w:rPr>
                <w:b/>
                <w:sz w:val="24"/>
              </w:rPr>
              <w:t>Paul Wood </w:t>
            </w:r>
            <w:r>
              <w:rPr>
                <w:sz w:val="24"/>
              </w:rPr>
              <w:t>(PW), Head of Service, Economic Development and Regeneration, SCDC and WDC </w:t>
            </w:r>
            <w:r>
              <w:rPr>
                <w:b/>
                <w:sz w:val="24"/>
              </w:rPr>
              <w:t>Richard Perkins </w:t>
            </w:r>
            <w:r>
              <w:rPr>
                <w:sz w:val="24"/>
              </w:rPr>
              <w:t>(RP), Suffolk Chamber of Commerce</w:t>
            </w:r>
          </w:p>
          <w:p>
            <w:pPr>
              <w:pStyle w:val="TableParagraph"/>
              <w:spacing w:before="60"/>
              <w:ind w:right="936"/>
              <w:rPr>
                <w:sz w:val="24"/>
              </w:rPr>
            </w:pPr>
            <w:r>
              <w:rPr>
                <w:b/>
                <w:sz w:val="24"/>
              </w:rPr>
              <w:t>Carolyn Barnes </w:t>
            </w:r>
            <w:r>
              <w:rPr>
                <w:sz w:val="24"/>
              </w:rPr>
              <w:t>(CB), Transport and Infrastructure Manager, East Suffolk</w:t>
            </w:r>
          </w:p>
          <w:p>
            <w:pPr>
              <w:pStyle w:val="TableParagraph"/>
              <w:spacing w:line="270" w:lineRule="atLeast" w:before="60"/>
              <w:ind w:right="589"/>
              <w:rPr>
                <w:sz w:val="24"/>
              </w:rPr>
            </w:pPr>
            <w:r>
              <w:rPr>
                <w:b/>
                <w:sz w:val="24"/>
              </w:rPr>
              <w:t>Andy Jobling </w:t>
            </w:r>
            <w:r>
              <w:rPr>
                <w:sz w:val="24"/>
              </w:rPr>
              <w:t>(AJ), Asset Manager Operations (East), Highways England</w:t>
            </w:r>
          </w:p>
        </w:tc>
      </w:tr>
      <w:tr>
        <w:trPr>
          <w:trHeight w:val="397" w:hRule="atLeast"/>
        </w:trPr>
        <w:tc>
          <w:tcPr>
            <w:tcW w:w="3229" w:type="dxa"/>
          </w:tcPr>
          <w:p>
            <w:pPr>
              <w:pStyle w:val="TableParagraph"/>
              <w:spacing w:before="62"/>
              <w:rPr>
                <w:b/>
                <w:sz w:val="24"/>
              </w:rPr>
            </w:pPr>
            <w:r>
              <w:rPr>
                <w:b/>
                <w:sz w:val="24"/>
              </w:rPr>
              <w:t>Invited Guests:</w:t>
            </w:r>
          </w:p>
        </w:tc>
        <w:tc>
          <w:tcPr>
            <w:tcW w:w="6520" w:type="dxa"/>
          </w:tcPr>
          <w:p>
            <w:pPr>
              <w:pStyle w:val="TableParagraph"/>
              <w:ind w:left="0"/>
              <w:rPr>
                <w:rFonts w:ascii="Times New Roman"/>
                <w:sz w:val="22"/>
              </w:rPr>
            </w:pPr>
          </w:p>
        </w:tc>
      </w:tr>
      <w:tr>
        <w:trPr>
          <w:trHeight w:val="395" w:hRule="atLeast"/>
        </w:trPr>
        <w:tc>
          <w:tcPr>
            <w:tcW w:w="3229" w:type="dxa"/>
          </w:tcPr>
          <w:p>
            <w:pPr>
              <w:pStyle w:val="TableParagraph"/>
              <w:spacing w:before="60"/>
              <w:rPr>
                <w:b/>
                <w:sz w:val="24"/>
              </w:rPr>
            </w:pPr>
            <w:r>
              <w:rPr>
                <w:b/>
                <w:sz w:val="24"/>
              </w:rPr>
              <w:t>Minute-taker:</w:t>
            </w:r>
          </w:p>
        </w:tc>
        <w:tc>
          <w:tcPr>
            <w:tcW w:w="6520" w:type="dxa"/>
          </w:tcPr>
          <w:p>
            <w:pPr>
              <w:pStyle w:val="TableParagraph"/>
              <w:spacing w:before="60"/>
              <w:rPr>
                <w:sz w:val="24"/>
              </w:rPr>
            </w:pPr>
            <w:r>
              <w:rPr>
                <w:sz w:val="24"/>
              </w:rPr>
              <w:t>Carrie Hughes</w:t>
            </w:r>
          </w:p>
        </w:tc>
      </w:tr>
      <w:tr>
        <w:trPr>
          <w:trHeight w:val="395" w:hRule="atLeast"/>
        </w:trPr>
        <w:tc>
          <w:tcPr>
            <w:tcW w:w="3229" w:type="dxa"/>
          </w:tcPr>
          <w:p>
            <w:pPr>
              <w:pStyle w:val="TableParagraph"/>
              <w:spacing w:before="60"/>
              <w:rPr>
                <w:b/>
                <w:sz w:val="24"/>
              </w:rPr>
            </w:pPr>
            <w:r>
              <w:rPr>
                <w:b/>
                <w:sz w:val="24"/>
              </w:rPr>
              <w:t>Distribution List:</w:t>
            </w:r>
          </w:p>
        </w:tc>
        <w:tc>
          <w:tcPr>
            <w:tcW w:w="6520" w:type="dxa"/>
          </w:tcPr>
          <w:p>
            <w:pPr>
              <w:pStyle w:val="TableParagraph"/>
              <w:ind w:left="0"/>
              <w:rPr>
                <w:rFonts w:ascii="Times New Roman"/>
                <w:sz w:val="22"/>
              </w:rPr>
            </w:pPr>
          </w:p>
        </w:tc>
      </w:tr>
    </w:tbl>
    <w:p>
      <w:pPr>
        <w:pStyle w:val="BodyText"/>
        <w:rPr>
          <w:b/>
          <w:sz w:val="24"/>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2518"/>
        <w:gridCol w:w="6378"/>
      </w:tblGrid>
      <w:tr>
        <w:trPr>
          <w:trHeight w:val="554" w:hRule="atLeast"/>
        </w:trPr>
        <w:tc>
          <w:tcPr>
            <w:tcW w:w="713" w:type="dxa"/>
          </w:tcPr>
          <w:p>
            <w:pPr>
              <w:pStyle w:val="TableParagraph"/>
              <w:spacing w:line="270" w:lineRule="atLeast" w:before="2"/>
              <w:ind w:right="82"/>
              <w:rPr>
                <w:b/>
                <w:sz w:val="24"/>
              </w:rPr>
            </w:pPr>
            <w:r>
              <w:rPr>
                <w:b/>
                <w:sz w:val="24"/>
              </w:rPr>
              <w:t>Item No.</w:t>
            </w:r>
          </w:p>
        </w:tc>
        <w:tc>
          <w:tcPr>
            <w:tcW w:w="2518" w:type="dxa"/>
          </w:tcPr>
          <w:p>
            <w:pPr>
              <w:pStyle w:val="TableParagraph"/>
              <w:spacing w:before="2"/>
              <w:rPr>
                <w:b/>
                <w:sz w:val="24"/>
              </w:rPr>
            </w:pPr>
            <w:r>
              <w:rPr>
                <w:b/>
                <w:sz w:val="24"/>
              </w:rPr>
              <w:t>Item Description</w:t>
            </w:r>
          </w:p>
        </w:tc>
        <w:tc>
          <w:tcPr>
            <w:tcW w:w="6378" w:type="dxa"/>
          </w:tcPr>
          <w:p>
            <w:pPr>
              <w:pStyle w:val="TableParagraph"/>
              <w:spacing w:line="270" w:lineRule="atLeast" w:before="2"/>
              <w:ind w:right="879"/>
              <w:rPr>
                <w:b/>
                <w:sz w:val="24"/>
              </w:rPr>
            </w:pPr>
            <w:r>
              <w:rPr>
                <w:b/>
                <w:sz w:val="24"/>
              </w:rPr>
              <w:t>Relevant business considered, facts noted, the decision taken and its rationale</w:t>
            </w:r>
          </w:p>
        </w:tc>
      </w:tr>
      <w:tr>
        <w:trPr>
          <w:trHeight w:val="827" w:hRule="atLeast"/>
        </w:trPr>
        <w:tc>
          <w:tcPr>
            <w:tcW w:w="713" w:type="dxa"/>
          </w:tcPr>
          <w:p>
            <w:pPr>
              <w:pStyle w:val="TableParagraph"/>
              <w:ind w:left="467"/>
              <w:rPr>
                <w:sz w:val="24"/>
              </w:rPr>
            </w:pPr>
            <w:r>
              <w:rPr>
                <w:sz w:val="24"/>
              </w:rPr>
              <w:t>1.</w:t>
            </w:r>
          </w:p>
        </w:tc>
        <w:tc>
          <w:tcPr>
            <w:tcW w:w="2518" w:type="dxa"/>
          </w:tcPr>
          <w:p>
            <w:pPr>
              <w:pStyle w:val="TableParagraph"/>
              <w:rPr>
                <w:sz w:val="24"/>
              </w:rPr>
            </w:pPr>
            <w:r>
              <w:rPr>
                <w:sz w:val="24"/>
              </w:rPr>
              <w:t>Apologies</w:t>
            </w:r>
          </w:p>
        </w:tc>
        <w:tc>
          <w:tcPr>
            <w:tcW w:w="6378" w:type="dxa"/>
          </w:tcPr>
          <w:p>
            <w:pPr>
              <w:pStyle w:val="TableParagraph"/>
              <w:rPr>
                <w:sz w:val="24"/>
              </w:rPr>
            </w:pPr>
            <w:r>
              <w:rPr>
                <w:sz w:val="24"/>
              </w:rPr>
              <w:t>Chris Starkie</w:t>
            </w:r>
          </w:p>
          <w:p>
            <w:pPr>
              <w:pStyle w:val="TableParagraph"/>
              <w:spacing w:line="270" w:lineRule="atLeast"/>
              <w:ind w:right="4373"/>
              <w:rPr>
                <w:sz w:val="24"/>
              </w:rPr>
            </w:pPr>
            <w:r>
              <w:rPr>
                <w:sz w:val="24"/>
              </w:rPr>
              <w:t>Cllr Andrew Page Gary Bellward</w:t>
            </w:r>
          </w:p>
        </w:tc>
      </w:tr>
    </w:tbl>
    <w:p>
      <w:pPr>
        <w:spacing w:after="0" w:line="270" w:lineRule="atLeast"/>
        <w:rPr>
          <w:sz w:val="24"/>
        </w:rPr>
        <w:sectPr>
          <w:footerReference w:type="default" r:id="rId5"/>
          <w:type w:val="continuous"/>
          <w:pgSz w:w="11910" w:h="16850"/>
          <w:pgMar w:footer="1078" w:top="700" w:bottom="1260" w:left="1200" w:right="720"/>
          <w:pgNumType w:start="1"/>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2518"/>
        <w:gridCol w:w="6378"/>
      </w:tblGrid>
      <w:tr>
        <w:trPr>
          <w:trHeight w:val="2371" w:hRule="atLeast"/>
        </w:trPr>
        <w:tc>
          <w:tcPr>
            <w:tcW w:w="713" w:type="dxa"/>
          </w:tcPr>
          <w:p>
            <w:pPr>
              <w:pStyle w:val="TableParagraph"/>
              <w:ind w:left="0"/>
              <w:rPr>
                <w:rFonts w:ascii="Times New Roman"/>
                <w:sz w:val="22"/>
              </w:rPr>
            </w:pPr>
          </w:p>
        </w:tc>
        <w:tc>
          <w:tcPr>
            <w:tcW w:w="2518" w:type="dxa"/>
          </w:tcPr>
          <w:p>
            <w:pPr>
              <w:pStyle w:val="TableParagraph"/>
              <w:ind w:left="0"/>
              <w:rPr>
                <w:rFonts w:ascii="Times New Roman"/>
                <w:sz w:val="22"/>
              </w:rPr>
            </w:pPr>
          </w:p>
        </w:tc>
        <w:tc>
          <w:tcPr>
            <w:tcW w:w="6378" w:type="dxa"/>
          </w:tcPr>
          <w:p>
            <w:pPr>
              <w:pStyle w:val="TableParagraph"/>
              <w:spacing w:before="2"/>
              <w:ind w:right="4093"/>
              <w:rPr>
                <w:sz w:val="24"/>
              </w:rPr>
            </w:pPr>
            <w:r>
              <w:rPr>
                <w:sz w:val="24"/>
              </w:rPr>
              <w:t>Justin Segrave-Daly Karl Murphy</w:t>
            </w:r>
          </w:p>
          <w:p>
            <w:pPr>
              <w:pStyle w:val="TableParagraph"/>
              <w:spacing w:line="252" w:lineRule="auto"/>
              <w:ind w:right="4666"/>
              <w:rPr>
                <w:sz w:val="24"/>
              </w:rPr>
            </w:pPr>
            <w:r>
              <w:rPr>
                <w:sz w:val="24"/>
              </w:rPr>
              <w:t>Katie Mack Michael Wilks Sharon Bleese Paul Brooks</w:t>
            </w:r>
          </w:p>
          <w:p>
            <w:pPr>
              <w:pStyle w:val="TableParagraph"/>
              <w:spacing w:line="336" w:lineRule="exact" w:before="3"/>
              <w:ind w:right="4253"/>
              <w:rPr>
                <w:sz w:val="24"/>
              </w:rPr>
            </w:pPr>
            <w:r>
              <w:rPr>
                <w:sz w:val="24"/>
              </w:rPr>
              <w:t>Cllr James Reeder Cllr Sonia Baker</w:t>
            </w:r>
          </w:p>
        </w:tc>
      </w:tr>
      <w:tr>
        <w:trPr>
          <w:trHeight w:val="258" w:hRule="atLeast"/>
        </w:trPr>
        <w:tc>
          <w:tcPr>
            <w:tcW w:w="713" w:type="dxa"/>
          </w:tcPr>
          <w:p>
            <w:pPr>
              <w:pStyle w:val="TableParagraph"/>
              <w:spacing w:line="239" w:lineRule="exact"/>
              <w:ind w:left="0" w:right="31"/>
              <w:jc w:val="right"/>
              <w:rPr>
                <w:sz w:val="24"/>
              </w:rPr>
            </w:pPr>
            <w:r>
              <w:rPr>
                <w:sz w:val="24"/>
              </w:rPr>
              <w:t>2.</w:t>
            </w:r>
          </w:p>
        </w:tc>
        <w:tc>
          <w:tcPr>
            <w:tcW w:w="2518" w:type="dxa"/>
          </w:tcPr>
          <w:p>
            <w:pPr>
              <w:pStyle w:val="TableParagraph"/>
              <w:spacing w:line="239" w:lineRule="exact"/>
              <w:rPr>
                <w:sz w:val="24"/>
              </w:rPr>
            </w:pPr>
            <w:r>
              <w:rPr>
                <w:sz w:val="24"/>
              </w:rPr>
              <w:t>Political Update</w:t>
            </w:r>
          </w:p>
        </w:tc>
        <w:tc>
          <w:tcPr>
            <w:tcW w:w="6378" w:type="dxa"/>
          </w:tcPr>
          <w:p>
            <w:pPr>
              <w:pStyle w:val="TableParagraph"/>
              <w:spacing w:line="239" w:lineRule="exact"/>
              <w:rPr>
                <w:sz w:val="24"/>
              </w:rPr>
            </w:pPr>
            <w:r>
              <w:rPr>
                <w:sz w:val="24"/>
              </w:rPr>
              <w:t>CN states everything is still on track.</w:t>
            </w:r>
          </w:p>
        </w:tc>
      </w:tr>
      <w:tr>
        <w:trPr>
          <w:trHeight w:val="11041" w:hRule="atLeast"/>
        </w:trPr>
        <w:tc>
          <w:tcPr>
            <w:tcW w:w="713" w:type="dxa"/>
          </w:tcPr>
          <w:p>
            <w:pPr>
              <w:pStyle w:val="TableParagraph"/>
              <w:ind w:left="0" w:right="31"/>
              <w:jc w:val="right"/>
              <w:rPr>
                <w:sz w:val="24"/>
              </w:rPr>
            </w:pPr>
            <w:r>
              <w:rPr>
                <w:sz w:val="24"/>
              </w:rPr>
              <w:t>3.</w:t>
            </w:r>
          </w:p>
        </w:tc>
        <w:tc>
          <w:tcPr>
            <w:tcW w:w="2518" w:type="dxa"/>
          </w:tcPr>
          <w:p>
            <w:pPr>
              <w:pStyle w:val="TableParagraph"/>
              <w:rPr>
                <w:sz w:val="24"/>
              </w:rPr>
            </w:pPr>
            <w:r>
              <w:rPr>
                <w:sz w:val="24"/>
              </w:rPr>
              <w:t>Project Update</w:t>
            </w:r>
          </w:p>
        </w:tc>
        <w:tc>
          <w:tcPr>
            <w:tcW w:w="6378" w:type="dxa"/>
          </w:tcPr>
          <w:p>
            <w:pPr>
              <w:pStyle w:val="TableParagraph"/>
              <w:ind w:right="197"/>
              <w:rPr>
                <w:sz w:val="24"/>
              </w:rPr>
            </w:pPr>
            <w:r>
              <w:rPr>
                <w:sz w:val="24"/>
              </w:rPr>
              <w:t>“We Are Listening” event with CN in Lowestoft generated a lot of interest about the Lake Lothing crossing.</w:t>
            </w:r>
          </w:p>
          <w:p>
            <w:pPr>
              <w:pStyle w:val="TableParagraph"/>
              <w:ind w:left="0"/>
              <w:rPr>
                <w:b/>
                <w:sz w:val="24"/>
              </w:rPr>
            </w:pPr>
          </w:p>
          <w:p>
            <w:pPr>
              <w:pStyle w:val="TableParagraph"/>
              <w:ind w:right="331"/>
              <w:rPr>
                <w:sz w:val="24"/>
              </w:rPr>
            </w:pPr>
            <w:r>
              <w:rPr>
                <w:sz w:val="24"/>
              </w:rPr>
              <w:t>Technical work on-going preparing for the Development Consent Order (DCO) application.</w:t>
            </w:r>
          </w:p>
          <w:p>
            <w:pPr>
              <w:pStyle w:val="TableParagraph"/>
              <w:spacing w:before="1"/>
              <w:ind w:left="0"/>
              <w:rPr>
                <w:b/>
                <w:sz w:val="24"/>
              </w:rPr>
            </w:pPr>
          </w:p>
          <w:p>
            <w:pPr>
              <w:pStyle w:val="TableParagraph"/>
              <w:rPr>
                <w:sz w:val="24"/>
              </w:rPr>
            </w:pPr>
            <w:r>
              <w:rPr>
                <w:sz w:val="24"/>
              </w:rPr>
              <w:t>Programme is still on target.</w:t>
            </w:r>
          </w:p>
          <w:p>
            <w:pPr>
              <w:pStyle w:val="TableParagraph"/>
              <w:ind w:left="0"/>
              <w:rPr>
                <w:b/>
                <w:sz w:val="24"/>
              </w:rPr>
            </w:pPr>
          </w:p>
          <w:p>
            <w:pPr>
              <w:pStyle w:val="TableParagraph"/>
              <w:ind w:right="277"/>
              <w:rPr>
                <w:sz w:val="24"/>
              </w:rPr>
            </w:pPr>
            <w:r>
              <w:rPr>
                <w:sz w:val="24"/>
              </w:rPr>
              <w:t>After a 28-day acceptance, examination is anticipated to start in July and lasts 6 months.</w:t>
            </w:r>
          </w:p>
          <w:p>
            <w:pPr>
              <w:pStyle w:val="TableParagraph"/>
              <w:ind w:left="0"/>
              <w:rPr>
                <w:b/>
                <w:sz w:val="24"/>
              </w:rPr>
            </w:pPr>
          </w:p>
          <w:p>
            <w:pPr>
              <w:pStyle w:val="TableParagraph"/>
              <w:ind w:right="144"/>
              <w:rPr>
                <w:sz w:val="24"/>
              </w:rPr>
            </w:pPr>
            <w:r>
              <w:rPr>
                <w:sz w:val="24"/>
              </w:rPr>
              <w:t>Following this the inspectors have up to 3 months to write their recommendation report. Finally, the Secretary of State has 3 months to decide.</w:t>
            </w:r>
          </w:p>
          <w:p>
            <w:pPr>
              <w:pStyle w:val="TableParagraph"/>
              <w:ind w:left="0"/>
              <w:rPr>
                <w:b/>
                <w:sz w:val="24"/>
              </w:rPr>
            </w:pPr>
          </w:p>
          <w:p>
            <w:pPr>
              <w:pStyle w:val="TableParagraph"/>
              <w:ind w:right="437"/>
              <w:rPr>
                <w:sz w:val="24"/>
              </w:rPr>
            </w:pPr>
            <w:r>
              <w:rPr>
                <w:sz w:val="24"/>
              </w:rPr>
              <w:t>JB has been keeping PINS up to date with the projects progress.</w:t>
            </w:r>
          </w:p>
          <w:p>
            <w:pPr>
              <w:pStyle w:val="TableParagraph"/>
              <w:ind w:left="0"/>
              <w:rPr>
                <w:b/>
                <w:sz w:val="24"/>
              </w:rPr>
            </w:pPr>
          </w:p>
          <w:p>
            <w:pPr>
              <w:pStyle w:val="TableParagraph"/>
              <w:ind w:right="197"/>
              <w:rPr>
                <w:sz w:val="24"/>
              </w:rPr>
            </w:pPr>
            <w:r>
              <w:rPr>
                <w:sz w:val="24"/>
              </w:rPr>
              <w:t>BG states the benefits CABE has been to the design of the project since an early phase.</w:t>
            </w:r>
          </w:p>
          <w:p>
            <w:pPr>
              <w:pStyle w:val="TableParagraph"/>
              <w:ind w:left="0"/>
              <w:rPr>
                <w:b/>
                <w:sz w:val="24"/>
              </w:rPr>
            </w:pPr>
          </w:p>
          <w:p>
            <w:pPr>
              <w:pStyle w:val="TableParagraph"/>
              <w:ind w:right="144"/>
              <w:rPr>
                <w:sz w:val="24"/>
              </w:rPr>
            </w:pPr>
            <w:r>
              <w:rPr>
                <w:sz w:val="24"/>
              </w:rPr>
              <w:t>Navigation Working Group was held two weeks ago to help discuss points raised by marine users of Lake Lothing. The meeting was facilitated and chaired by an independent person. ABP attended which helped resolve some misunderstandings between users.</w:t>
            </w:r>
          </w:p>
          <w:p>
            <w:pPr>
              <w:pStyle w:val="TableParagraph"/>
              <w:ind w:left="0"/>
              <w:rPr>
                <w:b/>
                <w:sz w:val="24"/>
              </w:rPr>
            </w:pPr>
          </w:p>
          <w:p>
            <w:pPr>
              <w:pStyle w:val="TableParagraph"/>
              <w:spacing w:before="1"/>
              <w:ind w:right="677"/>
              <w:rPr>
                <w:sz w:val="24"/>
              </w:rPr>
            </w:pPr>
            <w:r>
              <w:rPr>
                <w:sz w:val="24"/>
              </w:rPr>
              <w:t>AJ stated that management of future expectations of traffic are needed.</w:t>
            </w:r>
          </w:p>
          <w:p>
            <w:pPr>
              <w:pStyle w:val="TableParagraph"/>
              <w:spacing w:before="11"/>
              <w:ind w:left="0"/>
              <w:rPr>
                <w:b/>
                <w:sz w:val="23"/>
              </w:rPr>
            </w:pPr>
          </w:p>
          <w:p>
            <w:pPr>
              <w:pStyle w:val="TableParagraph"/>
              <w:ind w:right="451"/>
              <w:rPr>
                <w:sz w:val="24"/>
              </w:rPr>
            </w:pPr>
            <w:r>
              <w:rPr>
                <w:sz w:val="24"/>
              </w:rPr>
              <w:t>Progress on the GI work – Northern landing point work complete, with work now progressing on the southern landing point around the Riverside area.</w:t>
            </w:r>
          </w:p>
          <w:p>
            <w:pPr>
              <w:pStyle w:val="TableParagraph"/>
              <w:spacing w:before="1"/>
              <w:ind w:left="0"/>
              <w:rPr>
                <w:b/>
                <w:sz w:val="24"/>
              </w:rPr>
            </w:pPr>
          </w:p>
          <w:p>
            <w:pPr>
              <w:pStyle w:val="TableParagraph"/>
              <w:rPr>
                <w:sz w:val="24"/>
              </w:rPr>
            </w:pPr>
            <w:r>
              <w:rPr>
                <w:sz w:val="24"/>
              </w:rPr>
              <w:t>Detailed discussion with land owners currently going on.</w:t>
            </w:r>
          </w:p>
          <w:p>
            <w:pPr>
              <w:pStyle w:val="TableParagraph"/>
              <w:ind w:left="0"/>
              <w:rPr>
                <w:b/>
                <w:sz w:val="24"/>
              </w:rPr>
            </w:pPr>
          </w:p>
          <w:p>
            <w:pPr>
              <w:pStyle w:val="TableParagraph"/>
              <w:ind w:right="838"/>
              <w:rPr>
                <w:sz w:val="24"/>
              </w:rPr>
            </w:pPr>
            <w:r>
              <w:rPr>
                <w:sz w:val="24"/>
              </w:rPr>
              <w:t>Procurement Contractor Day – 30 possible tenders attended.</w:t>
            </w:r>
          </w:p>
          <w:p>
            <w:pPr>
              <w:pStyle w:val="TableParagraph"/>
              <w:ind w:left="0"/>
              <w:rPr>
                <w:b/>
                <w:sz w:val="24"/>
              </w:rPr>
            </w:pPr>
          </w:p>
          <w:p>
            <w:pPr>
              <w:pStyle w:val="TableParagraph"/>
              <w:spacing w:line="255" w:lineRule="exact"/>
              <w:rPr>
                <w:sz w:val="24"/>
              </w:rPr>
            </w:pPr>
            <w:r>
              <w:rPr>
                <w:sz w:val="24"/>
              </w:rPr>
              <w:t>Design in freeze while the design is refined.</w:t>
            </w:r>
          </w:p>
        </w:tc>
      </w:tr>
      <w:tr>
        <w:trPr>
          <w:trHeight w:val="827" w:hRule="atLeast"/>
        </w:trPr>
        <w:tc>
          <w:tcPr>
            <w:tcW w:w="713" w:type="dxa"/>
          </w:tcPr>
          <w:p>
            <w:pPr>
              <w:pStyle w:val="TableParagraph"/>
              <w:ind w:left="0" w:right="31"/>
              <w:jc w:val="right"/>
              <w:rPr>
                <w:sz w:val="24"/>
              </w:rPr>
            </w:pPr>
            <w:r>
              <w:rPr>
                <w:sz w:val="24"/>
              </w:rPr>
              <w:t>4.</w:t>
            </w:r>
          </w:p>
        </w:tc>
        <w:tc>
          <w:tcPr>
            <w:tcW w:w="2518" w:type="dxa"/>
          </w:tcPr>
          <w:p>
            <w:pPr>
              <w:pStyle w:val="TableParagraph"/>
              <w:rPr>
                <w:sz w:val="24"/>
              </w:rPr>
            </w:pPr>
            <w:r>
              <w:rPr>
                <w:sz w:val="24"/>
              </w:rPr>
              <w:t>Consultation</w:t>
            </w:r>
          </w:p>
        </w:tc>
        <w:tc>
          <w:tcPr>
            <w:tcW w:w="6378" w:type="dxa"/>
          </w:tcPr>
          <w:p>
            <w:pPr>
              <w:pStyle w:val="TableParagraph"/>
              <w:rPr>
                <w:sz w:val="24"/>
              </w:rPr>
            </w:pPr>
            <w:r>
              <w:rPr>
                <w:sz w:val="24"/>
              </w:rPr>
              <w:t>Very positive consultation.</w:t>
            </w:r>
          </w:p>
          <w:p>
            <w:pPr>
              <w:pStyle w:val="TableParagraph"/>
              <w:ind w:left="0"/>
              <w:rPr>
                <w:b/>
                <w:sz w:val="24"/>
              </w:rPr>
            </w:pPr>
          </w:p>
          <w:p>
            <w:pPr>
              <w:pStyle w:val="TableParagraph"/>
              <w:spacing w:line="255" w:lineRule="exact"/>
              <w:rPr>
                <w:sz w:val="24"/>
              </w:rPr>
            </w:pPr>
            <w:r>
              <w:rPr>
                <w:sz w:val="24"/>
              </w:rPr>
              <w:t>Majority of the responses were received from Survey</w:t>
            </w:r>
          </w:p>
        </w:tc>
      </w:tr>
    </w:tbl>
    <w:p>
      <w:pPr>
        <w:spacing w:after="0" w:line="255" w:lineRule="exact"/>
        <w:rPr>
          <w:sz w:val="24"/>
        </w:rPr>
        <w:sectPr>
          <w:pgSz w:w="11910" w:h="16850"/>
          <w:pgMar w:header="0" w:footer="1078" w:top="700" w:bottom="1260" w:left="1200" w:right="72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2518"/>
        <w:gridCol w:w="6378"/>
      </w:tblGrid>
      <w:tr>
        <w:trPr>
          <w:trHeight w:val="3311" w:hRule="atLeast"/>
        </w:trPr>
        <w:tc>
          <w:tcPr>
            <w:tcW w:w="713" w:type="dxa"/>
          </w:tcPr>
          <w:p>
            <w:pPr>
              <w:pStyle w:val="TableParagraph"/>
              <w:ind w:left="0"/>
              <w:rPr>
                <w:rFonts w:ascii="Times New Roman"/>
                <w:sz w:val="22"/>
              </w:rPr>
            </w:pPr>
          </w:p>
        </w:tc>
        <w:tc>
          <w:tcPr>
            <w:tcW w:w="2518" w:type="dxa"/>
          </w:tcPr>
          <w:p>
            <w:pPr>
              <w:pStyle w:val="TableParagraph"/>
              <w:ind w:left="0"/>
              <w:rPr>
                <w:rFonts w:ascii="Times New Roman"/>
                <w:sz w:val="22"/>
              </w:rPr>
            </w:pPr>
          </w:p>
        </w:tc>
        <w:tc>
          <w:tcPr>
            <w:tcW w:w="6378" w:type="dxa"/>
          </w:tcPr>
          <w:p>
            <w:pPr>
              <w:pStyle w:val="TableParagraph"/>
              <w:spacing w:before="2"/>
              <w:rPr>
                <w:sz w:val="24"/>
              </w:rPr>
            </w:pPr>
            <w:r>
              <w:rPr>
                <w:sz w:val="24"/>
              </w:rPr>
              <w:t>Monkey.</w:t>
            </w:r>
          </w:p>
          <w:p>
            <w:pPr>
              <w:pStyle w:val="TableParagraph"/>
              <w:ind w:left="0"/>
              <w:rPr>
                <w:b/>
                <w:sz w:val="24"/>
              </w:rPr>
            </w:pPr>
          </w:p>
          <w:p>
            <w:pPr>
              <w:pStyle w:val="TableParagraph"/>
              <w:spacing w:line="480" w:lineRule="auto"/>
              <w:ind w:right="3471"/>
              <w:rPr>
                <w:sz w:val="24"/>
              </w:rPr>
            </w:pPr>
            <w:r>
              <w:rPr>
                <w:sz w:val="24"/>
              </w:rPr>
              <w:t>Initial draft outcomes: 96% want a new</w:t>
            </w:r>
            <w:r>
              <w:rPr>
                <w:spacing w:val="-9"/>
                <w:sz w:val="24"/>
              </w:rPr>
              <w:t> </w:t>
            </w:r>
            <w:r>
              <w:rPr>
                <w:sz w:val="24"/>
              </w:rPr>
              <w:t>crossing.</w:t>
            </w:r>
          </w:p>
          <w:p>
            <w:pPr>
              <w:pStyle w:val="TableParagraph"/>
              <w:spacing w:line="477" w:lineRule="auto" w:before="1"/>
              <w:ind w:right="2491"/>
              <w:rPr>
                <w:sz w:val="24"/>
              </w:rPr>
            </w:pPr>
            <w:r>
              <w:rPr>
                <w:sz w:val="24"/>
              </w:rPr>
              <w:t>82% agree that it helps congestion. 84% agree to the design.</w:t>
            </w:r>
          </w:p>
          <w:p>
            <w:pPr>
              <w:pStyle w:val="TableParagraph"/>
              <w:spacing w:line="270" w:lineRule="atLeast" w:before="3"/>
              <w:rPr>
                <w:sz w:val="24"/>
              </w:rPr>
            </w:pPr>
            <w:r>
              <w:rPr>
                <w:sz w:val="24"/>
              </w:rPr>
              <w:t>The consultation event was extended to help add more events as requested by the public.</w:t>
            </w:r>
          </w:p>
        </w:tc>
      </w:tr>
      <w:tr>
        <w:trPr>
          <w:trHeight w:val="5520" w:hRule="atLeast"/>
        </w:trPr>
        <w:tc>
          <w:tcPr>
            <w:tcW w:w="713" w:type="dxa"/>
          </w:tcPr>
          <w:p>
            <w:pPr>
              <w:pStyle w:val="TableParagraph"/>
              <w:spacing w:before="2"/>
              <w:ind w:left="0" w:right="31"/>
              <w:jc w:val="right"/>
              <w:rPr>
                <w:sz w:val="24"/>
              </w:rPr>
            </w:pPr>
            <w:r>
              <w:rPr>
                <w:sz w:val="24"/>
              </w:rPr>
              <w:t>5.</w:t>
            </w:r>
          </w:p>
        </w:tc>
        <w:tc>
          <w:tcPr>
            <w:tcW w:w="2518" w:type="dxa"/>
          </w:tcPr>
          <w:p>
            <w:pPr>
              <w:pStyle w:val="TableParagraph"/>
              <w:spacing w:before="2"/>
              <w:rPr>
                <w:sz w:val="24"/>
              </w:rPr>
            </w:pPr>
            <w:r>
              <w:rPr>
                <w:sz w:val="24"/>
              </w:rPr>
              <w:t>Comms</w:t>
            </w:r>
          </w:p>
        </w:tc>
        <w:tc>
          <w:tcPr>
            <w:tcW w:w="6378" w:type="dxa"/>
          </w:tcPr>
          <w:p>
            <w:pPr>
              <w:pStyle w:val="TableParagraph"/>
              <w:spacing w:line="480" w:lineRule="auto" w:before="2"/>
              <w:ind w:right="330"/>
              <w:rPr>
                <w:sz w:val="24"/>
              </w:rPr>
            </w:pPr>
            <w:r>
              <w:rPr>
                <w:sz w:val="24"/>
              </w:rPr>
              <w:t>Discussion about keeping publicity going on the project. Advertisement of examination starting is needed.</w:t>
            </w:r>
          </w:p>
          <w:p>
            <w:pPr>
              <w:pStyle w:val="TableParagraph"/>
              <w:spacing w:before="1"/>
              <w:ind w:right="264"/>
              <w:rPr>
                <w:sz w:val="24"/>
              </w:rPr>
            </w:pPr>
            <w:r>
              <w:rPr>
                <w:sz w:val="24"/>
              </w:rPr>
              <w:t>New newsletter for the Lake Lothing Third Crossing. Out today</w:t>
            </w:r>
          </w:p>
          <w:p>
            <w:pPr>
              <w:pStyle w:val="TableParagraph"/>
              <w:ind w:left="0"/>
              <w:rPr>
                <w:b/>
                <w:sz w:val="26"/>
              </w:rPr>
            </w:pPr>
          </w:p>
          <w:p>
            <w:pPr>
              <w:pStyle w:val="TableParagraph"/>
              <w:ind w:left="0"/>
              <w:rPr>
                <w:b/>
                <w:sz w:val="22"/>
              </w:rPr>
            </w:pPr>
          </w:p>
          <w:p>
            <w:pPr>
              <w:pStyle w:val="TableParagraph"/>
              <w:ind w:right="145"/>
              <w:rPr>
                <w:sz w:val="24"/>
              </w:rPr>
            </w:pPr>
            <w:r>
              <w:rPr>
                <w:sz w:val="24"/>
              </w:rPr>
              <w:t>The next newsletter will be after submission – This will be sent to a distribution list as well as on the Lake Lothing website. KM to send out the PDF version.</w:t>
            </w:r>
          </w:p>
          <w:p>
            <w:pPr>
              <w:pStyle w:val="TableParagraph"/>
              <w:spacing w:before="9"/>
              <w:ind w:left="0"/>
              <w:rPr>
                <w:b/>
                <w:sz w:val="23"/>
              </w:rPr>
            </w:pPr>
          </w:p>
          <w:p>
            <w:pPr>
              <w:pStyle w:val="TableParagraph"/>
              <w:spacing w:line="237" w:lineRule="auto"/>
              <w:rPr>
                <w:sz w:val="24"/>
              </w:rPr>
            </w:pPr>
            <w:r>
              <w:rPr>
                <w:sz w:val="24"/>
              </w:rPr>
              <w:t>CM takes over KM’s job role 5</w:t>
            </w:r>
            <w:r>
              <w:rPr>
                <w:position w:val="8"/>
                <w:sz w:val="16"/>
              </w:rPr>
              <w:t>th </w:t>
            </w:r>
            <w:r>
              <w:rPr>
                <w:sz w:val="24"/>
              </w:rPr>
              <w:t>February. There will be a smooth transition.</w:t>
            </w:r>
          </w:p>
          <w:p>
            <w:pPr>
              <w:pStyle w:val="TableParagraph"/>
              <w:spacing w:before="1"/>
              <w:ind w:left="0"/>
              <w:rPr>
                <w:b/>
                <w:sz w:val="24"/>
              </w:rPr>
            </w:pPr>
          </w:p>
          <w:p>
            <w:pPr>
              <w:pStyle w:val="TableParagraph"/>
              <w:rPr>
                <w:sz w:val="24"/>
              </w:rPr>
            </w:pPr>
            <w:r>
              <w:rPr>
                <w:sz w:val="24"/>
              </w:rPr>
              <w:t>Pre-examination with have the press and the media attending.</w:t>
            </w:r>
          </w:p>
          <w:p>
            <w:pPr>
              <w:pStyle w:val="TableParagraph"/>
              <w:ind w:left="0"/>
              <w:rPr>
                <w:b/>
                <w:sz w:val="24"/>
              </w:rPr>
            </w:pPr>
          </w:p>
          <w:p>
            <w:pPr>
              <w:pStyle w:val="TableParagraph"/>
              <w:spacing w:line="270" w:lineRule="atLeast"/>
              <w:ind w:right="197"/>
              <w:rPr>
                <w:sz w:val="24"/>
              </w:rPr>
            </w:pPr>
            <w:r>
              <w:rPr>
                <w:sz w:val="24"/>
              </w:rPr>
              <w:t>KM will be updating the Comms Strategy for this project for the upcoming year.</w:t>
            </w:r>
          </w:p>
        </w:tc>
      </w:tr>
      <w:tr>
        <w:trPr>
          <w:trHeight w:val="2209" w:hRule="atLeast"/>
        </w:trPr>
        <w:tc>
          <w:tcPr>
            <w:tcW w:w="713" w:type="dxa"/>
          </w:tcPr>
          <w:p>
            <w:pPr>
              <w:pStyle w:val="TableParagraph"/>
              <w:spacing w:before="2"/>
              <w:ind w:left="0" w:right="31"/>
              <w:jc w:val="right"/>
              <w:rPr>
                <w:sz w:val="24"/>
              </w:rPr>
            </w:pPr>
            <w:r>
              <w:rPr>
                <w:sz w:val="24"/>
              </w:rPr>
              <w:t>6.</w:t>
            </w:r>
          </w:p>
        </w:tc>
        <w:tc>
          <w:tcPr>
            <w:tcW w:w="2518" w:type="dxa"/>
          </w:tcPr>
          <w:p>
            <w:pPr>
              <w:pStyle w:val="TableParagraph"/>
              <w:spacing w:before="2"/>
              <w:rPr>
                <w:sz w:val="24"/>
              </w:rPr>
            </w:pPr>
            <w:r>
              <w:rPr>
                <w:sz w:val="24"/>
              </w:rPr>
              <w:t>AOB</w:t>
            </w:r>
          </w:p>
        </w:tc>
        <w:tc>
          <w:tcPr>
            <w:tcW w:w="6378" w:type="dxa"/>
          </w:tcPr>
          <w:p>
            <w:pPr>
              <w:pStyle w:val="TableParagraph"/>
              <w:spacing w:before="2"/>
              <w:ind w:right="424"/>
              <w:rPr>
                <w:sz w:val="24"/>
              </w:rPr>
            </w:pPr>
            <w:r>
              <w:rPr>
                <w:sz w:val="24"/>
              </w:rPr>
              <w:t>JB will go through a dry run briefing of pre-examination meeting prior to event.</w:t>
            </w:r>
          </w:p>
          <w:p>
            <w:pPr>
              <w:pStyle w:val="TableParagraph"/>
              <w:ind w:left="0"/>
              <w:rPr>
                <w:b/>
                <w:sz w:val="24"/>
              </w:rPr>
            </w:pPr>
          </w:p>
          <w:p>
            <w:pPr>
              <w:pStyle w:val="TableParagraph"/>
              <w:ind w:right="331"/>
              <w:rPr>
                <w:sz w:val="24"/>
              </w:rPr>
            </w:pPr>
            <w:r>
              <w:rPr>
                <w:sz w:val="24"/>
              </w:rPr>
              <w:t>Must make sure the public understand that the existing crossings will stay open after the Third Crossing is built.</w:t>
            </w:r>
          </w:p>
          <w:p>
            <w:pPr>
              <w:pStyle w:val="TableParagraph"/>
              <w:ind w:left="0"/>
              <w:rPr>
                <w:b/>
                <w:sz w:val="24"/>
              </w:rPr>
            </w:pPr>
          </w:p>
          <w:p>
            <w:pPr>
              <w:pStyle w:val="TableParagraph"/>
              <w:spacing w:line="270" w:lineRule="atLeast"/>
              <w:ind w:right="545"/>
              <w:rPr>
                <w:sz w:val="24"/>
              </w:rPr>
            </w:pPr>
            <w:r>
              <w:rPr>
                <w:sz w:val="24"/>
              </w:rPr>
              <w:t>The Control Tower is in draft stages at this moment in time and JB will present plans at the next meeting.</w:t>
            </w:r>
          </w:p>
        </w:tc>
      </w:tr>
      <w:tr>
        <w:trPr>
          <w:trHeight w:val="552" w:hRule="atLeast"/>
        </w:trPr>
        <w:tc>
          <w:tcPr>
            <w:tcW w:w="9609" w:type="dxa"/>
            <w:gridSpan w:val="3"/>
          </w:tcPr>
          <w:p>
            <w:pPr>
              <w:pStyle w:val="TableParagraph"/>
              <w:rPr>
                <w:i/>
                <w:sz w:val="24"/>
              </w:rPr>
            </w:pPr>
            <w:r>
              <w:rPr>
                <w:i/>
                <w:sz w:val="24"/>
              </w:rPr>
              <w:t>Actions Agreed, Target Date (s), Lead Officer (s):</w:t>
            </w:r>
          </w:p>
        </w:tc>
      </w:tr>
    </w:tbl>
    <w:p>
      <w:pPr>
        <w:spacing w:after="0"/>
        <w:rPr>
          <w:sz w:val="24"/>
        </w:rPr>
        <w:sectPr>
          <w:pgSz w:w="11910" w:h="16850"/>
          <w:pgMar w:header="0" w:footer="1078" w:top="700" w:bottom="1260" w:left="1200" w:right="720"/>
        </w:sectPr>
      </w:pPr>
    </w:p>
    <w:p>
      <w:pPr>
        <w:spacing w:before="69"/>
        <w:ind w:left="2230" w:right="1397" w:hanging="1724"/>
        <w:jc w:val="left"/>
        <w:rPr>
          <w:b/>
          <w:sz w:val="40"/>
        </w:rPr>
      </w:pPr>
      <w:r>
        <w:rPr>
          <w:b/>
          <w:sz w:val="40"/>
        </w:rPr>
        <w:t>INTERNAL FOI CHECKLIST FOR MINUTES OF OFFICER MEETINGS</w:t>
      </w:r>
    </w:p>
    <w:p>
      <w:pPr>
        <w:pStyle w:val="Heading2"/>
        <w:spacing w:before="276"/>
        <w:ind w:left="218"/>
      </w:pPr>
      <w:r>
        <w:rPr/>
        <w:t>To be completed by the chair in respect of ALL minutes.</w:t>
      </w:r>
    </w:p>
    <w:p>
      <w:pPr>
        <w:pStyle w:val="BodyText"/>
        <w:rPr>
          <w:sz w:val="24"/>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5"/>
        <w:gridCol w:w="4822"/>
        <w:gridCol w:w="1417"/>
      </w:tblGrid>
      <w:tr>
        <w:trPr>
          <w:trHeight w:val="1770" w:hRule="atLeast"/>
        </w:trPr>
        <w:tc>
          <w:tcPr>
            <w:tcW w:w="9324" w:type="dxa"/>
            <w:gridSpan w:val="3"/>
          </w:tcPr>
          <w:p>
            <w:pPr>
              <w:pStyle w:val="TableParagraph"/>
              <w:spacing w:before="9"/>
              <w:ind w:left="0"/>
              <w:rPr>
                <w:sz w:val="31"/>
              </w:rPr>
            </w:pPr>
          </w:p>
          <w:p>
            <w:pPr>
              <w:pStyle w:val="TableParagraph"/>
              <w:ind w:right="88"/>
              <w:jc w:val="both"/>
              <w:rPr>
                <w:sz w:val="22"/>
              </w:rPr>
            </w:pPr>
            <w:r>
              <w:rPr>
                <w:b/>
                <w:sz w:val="28"/>
              </w:rPr>
              <w:t>The full minutes of this meeting are assumed to be accessible to the public and to staff, unless the chair claims an exemption under the Freedom of Information Act 2000. </w:t>
            </w:r>
            <w:r>
              <w:rPr>
                <w:sz w:val="22"/>
              </w:rPr>
              <w:t>Detailed guidance about applying the exemptions is available from </w:t>
            </w:r>
            <w:hyperlink r:id="rId8">
              <w:r>
                <w:rPr>
                  <w:color w:val="0000FF"/>
                  <w:sz w:val="22"/>
                  <w:u w:val="single" w:color="0000FF"/>
                </w:rPr>
                <w:t>foihelpdesk@libher.suffolkcc.gov.uk</w:t>
              </w:r>
              <w:r>
                <w:rPr>
                  <w:color w:val="0000FF"/>
                  <w:sz w:val="22"/>
                </w:rPr>
                <w:t> </w:t>
              </w:r>
            </w:hyperlink>
            <w:r>
              <w:rPr>
                <w:sz w:val="22"/>
              </w:rPr>
              <w:t>or call x720 4618</w:t>
            </w:r>
          </w:p>
        </w:tc>
      </w:tr>
      <w:tr>
        <w:trPr>
          <w:trHeight w:val="1655" w:hRule="atLeast"/>
        </w:trPr>
        <w:tc>
          <w:tcPr>
            <w:tcW w:w="3085" w:type="dxa"/>
            <w:vMerge w:val="restart"/>
          </w:tcPr>
          <w:p>
            <w:pPr>
              <w:pStyle w:val="TableParagraph"/>
              <w:ind w:left="0"/>
              <w:rPr>
                <w:sz w:val="24"/>
              </w:rPr>
            </w:pPr>
          </w:p>
          <w:p>
            <w:pPr>
              <w:pStyle w:val="TableParagraph"/>
              <w:ind w:right="159"/>
              <w:jc w:val="both"/>
              <w:rPr>
                <w:b/>
                <w:sz w:val="24"/>
              </w:rPr>
            </w:pPr>
            <w:r>
              <w:rPr>
                <w:b/>
                <w:sz w:val="24"/>
              </w:rPr>
              <w:t>Please indicate opposite any exemptions you are claiming.</w:t>
            </w:r>
          </w:p>
          <w:p>
            <w:pPr>
              <w:pStyle w:val="TableParagraph"/>
              <w:ind w:left="0"/>
              <w:rPr>
                <w:sz w:val="24"/>
              </w:rPr>
            </w:pPr>
          </w:p>
          <w:p>
            <w:pPr>
              <w:pStyle w:val="TableParagraph"/>
              <w:spacing w:before="1"/>
              <w:ind w:right="261"/>
              <w:rPr>
                <w:sz w:val="24"/>
              </w:rPr>
            </w:pPr>
            <w:r>
              <w:rPr>
                <w:sz w:val="24"/>
              </w:rPr>
              <w:t>Remember that some exemptions can be overridden if it is in the public interest to disclose</w:t>
            </w:r>
          </w:p>
          <w:p>
            <w:pPr>
              <w:pStyle w:val="TableParagraph"/>
              <w:ind w:right="414"/>
              <w:rPr>
                <w:sz w:val="24"/>
              </w:rPr>
            </w:pPr>
            <w:r>
              <w:rPr>
                <w:sz w:val="24"/>
              </w:rPr>
              <w:t>– as decided by the FOI multi-disciplinary team.</w:t>
            </w:r>
          </w:p>
          <w:p>
            <w:pPr>
              <w:pStyle w:val="TableParagraph"/>
              <w:ind w:left="0"/>
              <w:rPr>
                <w:sz w:val="24"/>
              </w:rPr>
            </w:pPr>
          </w:p>
          <w:p>
            <w:pPr>
              <w:pStyle w:val="TableParagraph"/>
              <w:ind w:right="75"/>
              <w:rPr>
                <w:sz w:val="24"/>
              </w:rPr>
            </w:pPr>
            <w:r>
              <w:rPr>
                <w:sz w:val="24"/>
              </w:rPr>
              <w:t>Exemptions normally apply for a limited time and the information may be released once the exemption lapses.</w:t>
            </w: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0"/>
              <w:ind w:left="0"/>
              <w:rPr>
                <w:sz w:val="10"/>
              </w:rPr>
            </w:pPr>
          </w:p>
          <w:p>
            <w:pPr>
              <w:pStyle w:val="TableParagraph"/>
              <w:ind w:left="1050"/>
              <w:rPr>
                <w:sz w:val="20"/>
              </w:rPr>
            </w:pPr>
            <w:r>
              <w:rPr>
                <w:sz w:val="20"/>
              </w:rPr>
              <w:drawing>
                <wp:inline distT="0" distB="0" distL="0" distR="0">
                  <wp:extent cx="631528" cy="62179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631528" cy="621791"/>
                          </a:xfrm>
                          <a:prstGeom prst="rect">
                            <a:avLst/>
                          </a:prstGeom>
                        </pic:spPr>
                      </pic:pic>
                    </a:graphicData>
                  </a:graphic>
                </wp:inline>
              </w:drawing>
            </w:r>
            <w:r>
              <w:rPr>
                <w:sz w:val="20"/>
              </w:rPr>
            </w: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1"/>
              <w:ind w:left="0"/>
              <w:rPr>
                <w:sz w:val="29"/>
              </w:rPr>
            </w:pPr>
          </w:p>
        </w:tc>
        <w:tc>
          <w:tcPr>
            <w:tcW w:w="4822" w:type="dxa"/>
          </w:tcPr>
          <w:p>
            <w:pPr>
              <w:pStyle w:val="TableParagraph"/>
              <w:rPr>
                <w:sz w:val="24"/>
              </w:rPr>
            </w:pPr>
            <w:r>
              <w:rPr>
                <w:sz w:val="24"/>
                <w:u w:val="single"/>
              </w:rPr>
              <w:t>These minutes contain information;</w:t>
            </w:r>
          </w:p>
        </w:tc>
        <w:tc>
          <w:tcPr>
            <w:tcW w:w="1417" w:type="dxa"/>
          </w:tcPr>
          <w:p>
            <w:pPr>
              <w:pStyle w:val="TableParagraph"/>
              <w:ind w:right="354"/>
              <w:rPr>
                <w:sz w:val="24"/>
              </w:rPr>
            </w:pPr>
            <w:r>
              <w:rPr>
                <w:sz w:val="24"/>
              </w:rPr>
              <w:t>Please insert an “x” if relevant</w:t>
            </w:r>
          </w:p>
        </w:tc>
      </w:tr>
      <w:tr>
        <w:trPr>
          <w:trHeight w:val="565" w:hRule="atLeast"/>
        </w:trPr>
        <w:tc>
          <w:tcPr>
            <w:tcW w:w="3085" w:type="dxa"/>
            <w:vMerge/>
            <w:tcBorders>
              <w:top w:val="nil"/>
            </w:tcBorders>
          </w:tcPr>
          <w:p>
            <w:pPr>
              <w:rPr>
                <w:sz w:val="2"/>
                <w:szCs w:val="2"/>
              </w:rPr>
            </w:pPr>
          </w:p>
        </w:tc>
        <w:tc>
          <w:tcPr>
            <w:tcW w:w="4822" w:type="dxa"/>
          </w:tcPr>
          <w:p>
            <w:pPr>
              <w:pStyle w:val="TableParagraph"/>
              <w:ind w:left="467"/>
              <w:rPr>
                <w:b/>
                <w:sz w:val="24"/>
              </w:rPr>
            </w:pPr>
            <w:r>
              <w:rPr>
                <w:sz w:val="24"/>
              </w:rPr>
              <w:t>1. That is </w:t>
            </w:r>
            <w:r>
              <w:rPr>
                <w:b/>
                <w:sz w:val="24"/>
              </w:rPr>
              <w:t>personal data</w:t>
            </w:r>
          </w:p>
        </w:tc>
        <w:tc>
          <w:tcPr>
            <w:tcW w:w="1417" w:type="dxa"/>
          </w:tcPr>
          <w:p>
            <w:pPr>
              <w:pStyle w:val="TableParagraph"/>
              <w:ind w:left="0"/>
              <w:rPr>
                <w:rFonts w:ascii="Times New Roman"/>
                <w:sz w:val="22"/>
              </w:rPr>
            </w:pPr>
          </w:p>
        </w:tc>
      </w:tr>
      <w:tr>
        <w:trPr>
          <w:trHeight w:val="568" w:hRule="atLeast"/>
        </w:trPr>
        <w:tc>
          <w:tcPr>
            <w:tcW w:w="3085" w:type="dxa"/>
            <w:vMerge/>
            <w:tcBorders>
              <w:top w:val="nil"/>
            </w:tcBorders>
          </w:tcPr>
          <w:p>
            <w:pPr>
              <w:rPr>
                <w:sz w:val="2"/>
                <w:szCs w:val="2"/>
              </w:rPr>
            </w:pPr>
          </w:p>
        </w:tc>
        <w:tc>
          <w:tcPr>
            <w:tcW w:w="4822" w:type="dxa"/>
          </w:tcPr>
          <w:p>
            <w:pPr>
              <w:pStyle w:val="TableParagraph"/>
              <w:spacing w:before="2"/>
              <w:ind w:left="467"/>
              <w:rPr>
                <w:b/>
                <w:sz w:val="24"/>
              </w:rPr>
            </w:pPr>
            <w:r>
              <w:rPr>
                <w:sz w:val="24"/>
              </w:rPr>
              <w:t>2. Provided in </w:t>
            </w:r>
            <w:r>
              <w:rPr>
                <w:b/>
                <w:sz w:val="24"/>
              </w:rPr>
              <w:t>confidence</w:t>
            </w:r>
          </w:p>
        </w:tc>
        <w:tc>
          <w:tcPr>
            <w:tcW w:w="1417" w:type="dxa"/>
          </w:tcPr>
          <w:p>
            <w:pPr>
              <w:pStyle w:val="TableParagraph"/>
              <w:ind w:left="0"/>
              <w:rPr>
                <w:rFonts w:ascii="Times New Roman"/>
                <w:sz w:val="22"/>
              </w:rPr>
            </w:pPr>
          </w:p>
        </w:tc>
      </w:tr>
      <w:tr>
        <w:trPr>
          <w:trHeight w:val="565" w:hRule="atLeast"/>
        </w:trPr>
        <w:tc>
          <w:tcPr>
            <w:tcW w:w="3085" w:type="dxa"/>
            <w:vMerge/>
            <w:tcBorders>
              <w:top w:val="nil"/>
            </w:tcBorders>
          </w:tcPr>
          <w:p>
            <w:pPr>
              <w:rPr>
                <w:sz w:val="2"/>
                <w:szCs w:val="2"/>
              </w:rPr>
            </w:pPr>
          </w:p>
        </w:tc>
        <w:tc>
          <w:tcPr>
            <w:tcW w:w="4822" w:type="dxa"/>
          </w:tcPr>
          <w:p>
            <w:pPr>
              <w:pStyle w:val="TableParagraph"/>
              <w:ind w:left="467"/>
              <w:rPr>
                <w:b/>
                <w:sz w:val="24"/>
              </w:rPr>
            </w:pPr>
            <w:r>
              <w:rPr>
                <w:sz w:val="24"/>
              </w:rPr>
              <w:t>3. Intended for </w:t>
            </w:r>
            <w:r>
              <w:rPr>
                <w:b/>
                <w:sz w:val="24"/>
              </w:rPr>
              <w:t>future publication</w:t>
            </w:r>
          </w:p>
        </w:tc>
        <w:tc>
          <w:tcPr>
            <w:tcW w:w="1417" w:type="dxa"/>
          </w:tcPr>
          <w:p>
            <w:pPr>
              <w:pStyle w:val="TableParagraph"/>
              <w:ind w:left="0"/>
              <w:rPr>
                <w:rFonts w:ascii="Times New Roman"/>
                <w:sz w:val="22"/>
              </w:rPr>
            </w:pPr>
          </w:p>
        </w:tc>
      </w:tr>
      <w:tr>
        <w:trPr>
          <w:trHeight w:val="568" w:hRule="atLeast"/>
        </w:trPr>
        <w:tc>
          <w:tcPr>
            <w:tcW w:w="3085" w:type="dxa"/>
            <w:vMerge/>
            <w:tcBorders>
              <w:top w:val="nil"/>
            </w:tcBorders>
          </w:tcPr>
          <w:p>
            <w:pPr>
              <w:rPr>
                <w:sz w:val="2"/>
                <w:szCs w:val="2"/>
              </w:rPr>
            </w:pPr>
          </w:p>
        </w:tc>
        <w:tc>
          <w:tcPr>
            <w:tcW w:w="4822" w:type="dxa"/>
          </w:tcPr>
          <w:p>
            <w:pPr>
              <w:pStyle w:val="TableParagraph"/>
              <w:spacing w:before="2"/>
              <w:ind w:left="467"/>
              <w:rPr>
                <w:b/>
                <w:sz w:val="24"/>
              </w:rPr>
            </w:pPr>
            <w:r>
              <w:rPr>
                <w:sz w:val="24"/>
              </w:rPr>
              <w:t>4. Related to </w:t>
            </w:r>
            <w:r>
              <w:rPr>
                <w:b/>
                <w:sz w:val="24"/>
              </w:rPr>
              <w:t>criminal proceedings</w:t>
            </w:r>
          </w:p>
        </w:tc>
        <w:tc>
          <w:tcPr>
            <w:tcW w:w="1417" w:type="dxa"/>
          </w:tcPr>
          <w:p>
            <w:pPr>
              <w:pStyle w:val="TableParagraph"/>
              <w:ind w:left="0"/>
              <w:rPr>
                <w:rFonts w:ascii="Times New Roman"/>
                <w:sz w:val="22"/>
              </w:rPr>
            </w:pPr>
          </w:p>
        </w:tc>
      </w:tr>
      <w:tr>
        <w:trPr>
          <w:trHeight w:val="566" w:hRule="atLeast"/>
        </w:trPr>
        <w:tc>
          <w:tcPr>
            <w:tcW w:w="3085" w:type="dxa"/>
            <w:vMerge/>
            <w:tcBorders>
              <w:top w:val="nil"/>
            </w:tcBorders>
          </w:tcPr>
          <w:p>
            <w:pPr>
              <w:rPr>
                <w:sz w:val="2"/>
                <w:szCs w:val="2"/>
              </w:rPr>
            </w:pPr>
          </w:p>
        </w:tc>
        <w:tc>
          <w:tcPr>
            <w:tcW w:w="4822" w:type="dxa"/>
          </w:tcPr>
          <w:p>
            <w:pPr>
              <w:pStyle w:val="TableParagraph"/>
              <w:spacing w:line="270" w:lineRule="atLeast"/>
              <w:ind w:left="827" w:right="435" w:hanging="360"/>
              <w:rPr>
                <w:b/>
                <w:sz w:val="24"/>
              </w:rPr>
            </w:pPr>
            <w:r>
              <w:rPr>
                <w:sz w:val="24"/>
              </w:rPr>
              <w:t>5. That might prejudice </w:t>
            </w:r>
            <w:r>
              <w:rPr>
                <w:b/>
                <w:sz w:val="24"/>
              </w:rPr>
              <w:t>law enforcement</w:t>
            </w:r>
          </w:p>
        </w:tc>
        <w:tc>
          <w:tcPr>
            <w:tcW w:w="1417" w:type="dxa"/>
          </w:tcPr>
          <w:p>
            <w:pPr>
              <w:pStyle w:val="TableParagraph"/>
              <w:ind w:left="0"/>
              <w:rPr>
                <w:rFonts w:ascii="Times New Roman"/>
                <w:sz w:val="22"/>
              </w:rPr>
            </w:pPr>
          </w:p>
        </w:tc>
      </w:tr>
      <w:tr>
        <w:trPr>
          <w:trHeight w:val="568" w:hRule="atLeast"/>
        </w:trPr>
        <w:tc>
          <w:tcPr>
            <w:tcW w:w="3085" w:type="dxa"/>
            <w:vMerge/>
            <w:tcBorders>
              <w:top w:val="nil"/>
            </w:tcBorders>
          </w:tcPr>
          <w:p>
            <w:pPr>
              <w:rPr>
                <w:sz w:val="2"/>
                <w:szCs w:val="2"/>
              </w:rPr>
            </w:pPr>
          </w:p>
        </w:tc>
        <w:tc>
          <w:tcPr>
            <w:tcW w:w="4822" w:type="dxa"/>
          </w:tcPr>
          <w:p>
            <w:pPr>
              <w:pStyle w:val="TableParagraph"/>
              <w:spacing w:before="2"/>
              <w:ind w:left="467"/>
              <w:rPr>
                <w:sz w:val="24"/>
              </w:rPr>
            </w:pPr>
            <w:r>
              <w:rPr>
                <w:sz w:val="24"/>
              </w:rPr>
              <w:t>6.  That might prejudice ongoing</w:t>
            </w:r>
          </w:p>
          <w:p>
            <w:pPr>
              <w:pStyle w:val="TableParagraph"/>
              <w:spacing w:line="270" w:lineRule="exact"/>
              <w:ind w:left="827"/>
              <w:rPr>
                <w:sz w:val="24"/>
              </w:rPr>
            </w:pPr>
            <w:r>
              <w:rPr>
                <w:b/>
                <w:sz w:val="24"/>
              </w:rPr>
              <w:t>external audit </w:t>
            </w:r>
            <w:r>
              <w:rPr>
                <w:sz w:val="24"/>
              </w:rPr>
              <w:t>investigations</w:t>
            </w:r>
          </w:p>
        </w:tc>
        <w:tc>
          <w:tcPr>
            <w:tcW w:w="1417" w:type="dxa"/>
          </w:tcPr>
          <w:p>
            <w:pPr>
              <w:pStyle w:val="TableParagraph"/>
              <w:ind w:left="0"/>
              <w:rPr>
                <w:rFonts w:ascii="Times New Roman"/>
                <w:sz w:val="22"/>
              </w:rPr>
            </w:pPr>
          </w:p>
        </w:tc>
      </w:tr>
      <w:tr>
        <w:trPr>
          <w:trHeight w:val="565" w:hRule="atLeast"/>
        </w:trPr>
        <w:tc>
          <w:tcPr>
            <w:tcW w:w="3085" w:type="dxa"/>
            <w:vMerge/>
            <w:tcBorders>
              <w:top w:val="nil"/>
            </w:tcBorders>
          </w:tcPr>
          <w:p>
            <w:pPr>
              <w:rPr>
                <w:sz w:val="2"/>
                <w:szCs w:val="2"/>
              </w:rPr>
            </w:pPr>
          </w:p>
        </w:tc>
        <w:tc>
          <w:tcPr>
            <w:tcW w:w="4822" w:type="dxa"/>
          </w:tcPr>
          <w:p>
            <w:pPr>
              <w:pStyle w:val="TableParagraph"/>
              <w:spacing w:line="270" w:lineRule="atLeast"/>
              <w:ind w:left="827" w:hanging="360"/>
              <w:rPr>
                <w:b/>
                <w:sz w:val="24"/>
              </w:rPr>
            </w:pPr>
            <w:r>
              <w:rPr>
                <w:sz w:val="24"/>
              </w:rPr>
              <w:t>7. That could prejudice the </w:t>
            </w:r>
            <w:r>
              <w:rPr>
                <w:b/>
                <w:sz w:val="24"/>
              </w:rPr>
              <w:t>conduct of public affairs</w:t>
            </w:r>
          </w:p>
        </w:tc>
        <w:tc>
          <w:tcPr>
            <w:tcW w:w="1417" w:type="dxa"/>
          </w:tcPr>
          <w:p>
            <w:pPr>
              <w:pStyle w:val="TableParagraph"/>
              <w:ind w:left="0"/>
              <w:rPr>
                <w:rFonts w:ascii="Times New Roman"/>
                <w:sz w:val="22"/>
              </w:rPr>
            </w:pPr>
          </w:p>
        </w:tc>
      </w:tr>
      <w:tr>
        <w:trPr>
          <w:trHeight w:val="829" w:hRule="atLeast"/>
        </w:trPr>
        <w:tc>
          <w:tcPr>
            <w:tcW w:w="3085" w:type="dxa"/>
            <w:vMerge/>
            <w:tcBorders>
              <w:top w:val="nil"/>
            </w:tcBorders>
          </w:tcPr>
          <w:p>
            <w:pPr>
              <w:rPr>
                <w:sz w:val="2"/>
                <w:szCs w:val="2"/>
              </w:rPr>
            </w:pPr>
          </w:p>
        </w:tc>
        <w:tc>
          <w:tcPr>
            <w:tcW w:w="4822" w:type="dxa"/>
          </w:tcPr>
          <w:p>
            <w:pPr>
              <w:pStyle w:val="TableParagraph"/>
              <w:spacing w:before="2"/>
              <w:ind w:left="827" w:hanging="360"/>
              <w:rPr>
                <w:b/>
                <w:sz w:val="24"/>
              </w:rPr>
            </w:pPr>
            <w:r>
              <w:rPr>
                <w:sz w:val="24"/>
              </w:rPr>
              <w:t>8. Information that could endanger an individual’s </w:t>
            </w:r>
            <w:r>
              <w:rPr>
                <w:b/>
                <w:sz w:val="24"/>
              </w:rPr>
              <w:t>health &amp; safety</w:t>
            </w:r>
          </w:p>
        </w:tc>
        <w:tc>
          <w:tcPr>
            <w:tcW w:w="1417" w:type="dxa"/>
          </w:tcPr>
          <w:p>
            <w:pPr>
              <w:pStyle w:val="TableParagraph"/>
              <w:ind w:left="0"/>
              <w:rPr>
                <w:rFonts w:ascii="Times New Roman"/>
                <w:sz w:val="22"/>
              </w:rPr>
            </w:pPr>
          </w:p>
        </w:tc>
      </w:tr>
      <w:tr>
        <w:trPr>
          <w:trHeight w:val="565" w:hRule="atLeast"/>
        </w:trPr>
        <w:tc>
          <w:tcPr>
            <w:tcW w:w="3085" w:type="dxa"/>
            <w:vMerge/>
            <w:tcBorders>
              <w:top w:val="nil"/>
            </w:tcBorders>
          </w:tcPr>
          <w:p>
            <w:pPr>
              <w:rPr>
                <w:sz w:val="2"/>
                <w:szCs w:val="2"/>
              </w:rPr>
            </w:pPr>
          </w:p>
        </w:tc>
        <w:tc>
          <w:tcPr>
            <w:tcW w:w="4822" w:type="dxa"/>
          </w:tcPr>
          <w:p>
            <w:pPr>
              <w:pStyle w:val="TableParagraph"/>
              <w:ind w:left="467"/>
              <w:rPr>
                <w:b/>
                <w:sz w:val="24"/>
              </w:rPr>
            </w:pPr>
            <w:r>
              <w:rPr>
                <w:sz w:val="24"/>
              </w:rPr>
              <w:t>9. That is subject to </w:t>
            </w:r>
            <w:r>
              <w:rPr>
                <w:b/>
                <w:sz w:val="24"/>
              </w:rPr>
              <w:t>legal privilege</w:t>
            </w:r>
          </w:p>
        </w:tc>
        <w:tc>
          <w:tcPr>
            <w:tcW w:w="1417" w:type="dxa"/>
          </w:tcPr>
          <w:p>
            <w:pPr>
              <w:pStyle w:val="TableParagraph"/>
              <w:ind w:left="0"/>
              <w:rPr>
                <w:rFonts w:ascii="Times New Roman"/>
                <w:sz w:val="22"/>
              </w:rPr>
            </w:pPr>
          </w:p>
        </w:tc>
      </w:tr>
      <w:tr>
        <w:trPr>
          <w:trHeight w:val="568" w:hRule="atLeast"/>
        </w:trPr>
        <w:tc>
          <w:tcPr>
            <w:tcW w:w="3085" w:type="dxa"/>
            <w:vMerge/>
            <w:tcBorders>
              <w:top w:val="nil"/>
            </w:tcBorders>
          </w:tcPr>
          <w:p>
            <w:pPr>
              <w:rPr>
                <w:sz w:val="2"/>
                <w:szCs w:val="2"/>
              </w:rPr>
            </w:pPr>
          </w:p>
        </w:tc>
        <w:tc>
          <w:tcPr>
            <w:tcW w:w="4822" w:type="dxa"/>
          </w:tcPr>
          <w:p>
            <w:pPr>
              <w:pStyle w:val="TableParagraph"/>
              <w:spacing w:line="270" w:lineRule="atLeast"/>
              <w:ind w:left="827" w:right="435" w:hanging="360"/>
              <w:rPr>
                <w:b/>
                <w:sz w:val="24"/>
              </w:rPr>
            </w:pPr>
            <w:r>
              <w:rPr>
                <w:sz w:val="24"/>
              </w:rPr>
              <w:t>10.</w:t>
            </w:r>
            <w:r>
              <w:rPr>
                <w:spacing w:val="-51"/>
                <w:sz w:val="24"/>
              </w:rPr>
              <w:t> </w:t>
            </w:r>
            <w:r>
              <w:rPr>
                <w:sz w:val="24"/>
              </w:rPr>
              <w:t>That is prejudicial to </w:t>
            </w:r>
            <w:r>
              <w:rPr>
                <w:b/>
                <w:sz w:val="24"/>
              </w:rPr>
              <w:t>commercial interests</w:t>
            </w:r>
          </w:p>
        </w:tc>
        <w:tc>
          <w:tcPr>
            <w:tcW w:w="1417" w:type="dxa"/>
          </w:tcPr>
          <w:p>
            <w:pPr>
              <w:pStyle w:val="TableParagraph"/>
              <w:ind w:left="0"/>
              <w:rPr>
                <w:rFonts w:ascii="Times New Roman"/>
                <w:sz w:val="22"/>
              </w:rPr>
            </w:pPr>
          </w:p>
        </w:tc>
      </w:tr>
      <w:tr>
        <w:trPr>
          <w:trHeight w:val="566" w:hRule="atLeast"/>
        </w:trPr>
        <w:tc>
          <w:tcPr>
            <w:tcW w:w="3085" w:type="dxa"/>
            <w:vMerge/>
            <w:tcBorders>
              <w:top w:val="nil"/>
            </w:tcBorders>
          </w:tcPr>
          <w:p>
            <w:pPr>
              <w:rPr>
                <w:sz w:val="2"/>
                <w:szCs w:val="2"/>
              </w:rPr>
            </w:pPr>
          </w:p>
        </w:tc>
        <w:tc>
          <w:tcPr>
            <w:tcW w:w="4822" w:type="dxa"/>
          </w:tcPr>
          <w:p>
            <w:pPr>
              <w:pStyle w:val="TableParagraph"/>
              <w:ind w:left="467"/>
              <w:rPr>
                <w:b/>
                <w:sz w:val="24"/>
              </w:rPr>
            </w:pPr>
            <w:r>
              <w:rPr>
                <w:sz w:val="24"/>
              </w:rPr>
              <w:t>11.</w:t>
            </w:r>
            <w:r>
              <w:rPr>
                <w:spacing w:val="-57"/>
                <w:sz w:val="24"/>
              </w:rPr>
              <w:t> </w:t>
            </w:r>
            <w:r>
              <w:rPr>
                <w:sz w:val="24"/>
              </w:rPr>
              <w:t>That </w:t>
            </w:r>
            <w:r>
              <w:rPr>
                <w:b/>
                <w:sz w:val="24"/>
              </w:rPr>
              <w:t>may not be disclosed by law</w:t>
            </w:r>
          </w:p>
        </w:tc>
        <w:tc>
          <w:tcPr>
            <w:tcW w:w="1417" w:type="dxa"/>
          </w:tcPr>
          <w:p>
            <w:pPr>
              <w:pStyle w:val="TableParagraph"/>
              <w:ind w:left="0"/>
              <w:rPr>
                <w:rFonts w:ascii="Times New Roman"/>
                <w:sz w:val="22"/>
              </w:rPr>
            </w:pPr>
          </w:p>
        </w:tc>
      </w:tr>
      <w:tr>
        <w:trPr>
          <w:trHeight w:val="568" w:hRule="atLeast"/>
        </w:trPr>
        <w:tc>
          <w:tcPr>
            <w:tcW w:w="3085" w:type="dxa"/>
            <w:vMerge/>
            <w:tcBorders>
              <w:top w:val="nil"/>
            </w:tcBorders>
          </w:tcPr>
          <w:p>
            <w:pPr>
              <w:rPr>
                <w:sz w:val="2"/>
                <w:szCs w:val="2"/>
              </w:rPr>
            </w:pPr>
          </w:p>
        </w:tc>
        <w:tc>
          <w:tcPr>
            <w:tcW w:w="4822" w:type="dxa"/>
          </w:tcPr>
          <w:p>
            <w:pPr>
              <w:pStyle w:val="TableParagraph"/>
              <w:ind w:left="467"/>
              <w:rPr>
                <w:sz w:val="24"/>
              </w:rPr>
            </w:pPr>
            <w:r>
              <w:rPr>
                <w:sz w:val="24"/>
              </w:rPr>
              <w:t>12. </w:t>
            </w:r>
            <w:r>
              <w:rPr>
                <w:b/>
                <w:sz w:val="24"/>
              </w:rPr>
              <w:t>Other </w:t>
            </w:r>
            <w:r>
              <w:rPr>
                <w:sz w:val="24"/>
              </w:rPr>
              <w:t>Please describe</w:t>
            </w:r>
          </w:p>
        </w:tc>
        <w:tc>
          <w:tcPr>
            <w:tcW w:w="1417" w:type="dxa"/>
          </w:tcPr>
          <w:p>
            <w:pPr>
              <w:pStyle w:val="TableParagraph"/>
              <w:ind w:left="0"/>
              <w:rPr>
                <w:rFonts w:ascii="Times New Roman"/>
                <w:sz w:val="22"/>
              </w:rPr>
            </w:pPr>
          </w:p>
        </w:tc>
      </w:tr>
    </w:tbl>
    <w:p>
      <w:pPr>
        <w:spacing w:before="0"/>
        <w:ind w:left="218" w:right="483" w:firstLine="0"/>
        <w:jc w:val="left"/>
        <w:rPr>
          <w:b/>
          <w:sz w:val="24"/>
        </w:rPr>
      </w:pPr>
      <w:r>
        <w:rPr>
          <w:b/>
          <w:sz w:val="24"/>
        </w:rPr>
        <w:t>Remember to destroy all drafts and routine correspondence once the final version of these minutes is agreed.</w:t>
      </w:r>
    </w:p>
    <w:sectPr>
      <w:pgSz w:w="11910" w:h="16850"/>
      <w:pgMar w:header="0" w:footer="1078" w:top="640" w:bottom="1260" w:left="12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5.584pt;margin-top:773.137573pt;width:423.2pt;height:34.050pt;mso-position-horizontal-relative:page;mso-position-vertical-relative:page;z-index:-10648" type="#_x0000_t202" filled="false" stroked="false">
          <v:textbox inset="0,0,0,0">
            <w:txbxContent>
              <w:p>
                <w:pPr>
                  <w:pStyle w:val="BodyText"/>
                  <w:spacing w:before="15"/>
                  <w:ind w:left="20" w:right="18"/>
                  <w:jc w:val="center"/>
                </w:pPr>
                <w:r>
                  <w:rPr/>
                  <w:t>C:\Users\donoc2\AppData\Local\Microsoft\Windows\Temporary Internet Files\Content.Outlook\LHJMLWK7\2017-12-15 LLTC Stakeholder Meeting Minutes - DRAFT - v0.2.doc</w:t>
                </w:r>
              </w:p>
              <w:p>
                <w:pPr>
                  <w:spacing w:before="2"/>
                  <w:ind w:left="0" w:right="1" w:firstLine="0"/>
                  <w:jc w:val="center"/>
                  <w:rPr>
                    <w:sz w:val="24"/>
                  </w:rPr>
                </w:pPr>
                <w:r>
                  <w:rPr/>
                  <w:fldChar w:fldCharType="begin"/>
                </w:r>
                <w:r>
                  <w:rPr>
                    <w:w w:val="99"/>
                    <w:sz w:val="24"/>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16"/>
      <w:szCs w:val="16"/>
      <w:lang w:val="en-gb" w:eastAsia="en-gb" w:bidi="en-gb"/>
    </w:rPr>
  </w:style>
  <w:style w:styleId="Heading1" w:type="paragraph">
    <w:name w:val="Heading 1"/>
    <w:basedOn w:val="Normal"/>
    <w:uiPriority w:val="1"/>
    <w:qFormat/>
    <w:pPr>
      <w:spacing w:before="69"/>
      <w:ind w:left="218" w:hanging="1724"/>
      <w:outlineLvl w:val="1"/>
    </w:pPr>
    <w:rPr>
      <w:rFonts w:ascii="Arial" w:hAnsi="Arial" w:eastAsia="Arial" w:cs="Arial"/>
      <w:b/>
      <w:bCs/>
      <w:sz w:val="40"/>
      <w:szCs w:val="40"/>
      <w:lang w:val="en-gb" w:eastAsia="en-gb" w:bidi="en-gb"/>
    </w:rPr>
  </w:style>
  <w:style w:styleId="Heading2" w:type="paragraph">
    <w:name w:val="Heading 2"/>
    <w:basedOn w:val="Normal"/>
    <w:uiPriority w:val="1"/>
    <w:qFormat/>
    <w:pPr>
      <w:spacing w:before="2"/>
      <w:outlineLvl w:val="2"/>
    </w:pPr>
    <w:rPr>
      <w:rFonts w:ascii="Arial" w:hAnsi="Arial" w:eastAsia="Arial" w:cs="Arial"/>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foihelpdesk@libher.suffolkcc.gov.uk"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Howard</dc:creator>
  <dc:title>INTERNAL FOI CHECKLIST FOR MINUTES OF OFFICER MEETINGS</dc:title>
  <dcterms:created xsi:type="dcterms:W3CDTF">2021-01-06T10:08:28Z</dcterms:created>
  <dcterms:modified xsi:type="dcterms:W3CDTF">2021-01-06T10:08:28Z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2016</vt:lpwstr>
  </property>
  <property fmtid="{D5CDD505-2E9C-101B-9397-08002B2CF9AE}" pid="4" name="LastSaved">
    <vt:filetime>2021-01-06T00:00:00Z</vt:filetime>
  </property>
</Properties>
</file>