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29" w:rsidRPr="00296958" w:rsidRDefault="009B1786">
      <w:pPr>
        <w:rPr>
          <w:b/>
          <w:sz w:val="28"/>
        </w:rPr>
      </w:pPr>
      <w:r>
        <w:rPr>
          <w:b/>
          <w:sz w:val="28"/>
        </w:rPr>
        <w:t xml:space="preserve">Lake Lothing </w:t>
      </w:r>
      <w:r w:rsidR="00E91D7E" w:rsidRPr="00296958">
        <w:rPr>
          <w:b/>
          <w:sz w:val="28"/>
        </w:rPr>
        <w:t xml:space="preserve">Crossing </w:t>
      </w:r>
      <w:r w:rsidR="00AC62CB">
        <w:rPr>
          <w:b/>
          <w:sz w:val="28"/>
        </w:rPr>
        <w:t>Key Stakeholders</w:t>
      </w:r>
      <w:r w:rsidR="00AC62CB" w:rsidRPr="00296958">
        <w:rPr>
          <w:b/>
          <w:sz w:val="28"/>
        </w:rPr>
        <w:t xml:space="preserve"> </w:t>
      </w:r>
      <w:r w:rsidR="00E91D7E" w:rsidRPr="00296958">
        <w:rPr>
          <w:b/>
          <w:sz w:val="28"/>
        </w:rPr>
        <w:t>Group</w:t>
      </w:r>
      <w:r w:rsidR="00DE4B29" w:rsidRPr="00296958">
        <w:rPr>
          <w:b/>
          <w:sz w:val="28"/>
        </w:rPr>
        <w:t xml:space="preserve"> Actions</w:t>
      </w:r>
      <w:r w:rsidR="00E91D7E" w:rsidRPr="00296958">
        <w:rPr>
          <w:b/>
          <w:sz w:val="28"/>
        </w:rPr>
        <w:t xml:space="preserve">– </w:t>
      </w:r>
      <w:r w:rsidR="008D35C7">
        <w:rPr>
          <w:b/>
          <w:sz w:val="28"/>
        </w:rPr>
        <w:t>22</w:t>
      </w:r>
      <w:r w:rsidR="008D35C7" w:rsidRPr="008D35C7">
        <w:rPr>
          <w:b/>
          <w:sz w:val="28"/>
          <w:vertAlign w:val="superscript"/>
        </w:rPr>
        <w:t>nd</w:t>
      </w:r>
      <w:r w:rsidR="008D35C7">
        <w:rPr>
          <w:b/>
          <w:sz w:val="28"/>
        </w:rPr>
        <w:t xml:space="preserve"> September </w:t>
      </w:r>
      <w:r w:rsidR="00894A4D">
        <w:rPr>
          <w:b/>
          <w:sz w:val="28"/>
        </w:rPr>
        <w:t>2017</w:t>
      </w:r>
    </w:p>
    <w:p w:rsidR="00B93199" w:rsidRDefault="00DE4B29" w:rsidP="00B93199">
      <w:pPr>
        <w:spacing w:after="0"/>
      </w:pPr>
      <w:r w:rsidRPr="00250818">
        <w:rPr>
          <w:b/>
        </w:rPr>
        <w:t>Attendees:</w:t>
      </w:r>
      <w:r w:rsidRPr="00250818">
        <w:t xml:space="preserve"> </w:t>
      </w:r>
      <w:r w:rsidR="00513E3B" w:rsidRPr="00250818">
        <w:t xml:space="preserve">Peter Aldous MP, Cllr Mark Bee (WDC), </w:t>
      </w:r>
      <w:r w:rsidR="00730AD8" w:rsidRPr="00250818">
        <w:t xml:space="preserve">Cllr Colin Noble (SCC), Cllr Michael Ladd (WDC), </w:t>
      </w:r>
      <w:r w:rsidR="008F2ADB" w:rsidRPr="00250818">
        <w:t xml:space="preserve">Cllr Sonia Barker (WDC), </w:t>
      </w:r>
      <w:r w:rsidR="00730AD8" w:rsidRPr="00250818">
        <w:t>James Reeder (SCC), A</w:t>
      </w:r>
      <w:r w:rsidR="00105070" w:rsidRPr="00250818">
        <w:t xml:space="preserve">ndy </w:t>
      </w:r>
      <w:r w:rsidR="00730AD8" w:rsidRPr="00250818">
        <w:t>J</w:t>
      </w:r>
      <w:r w:rsidR="00250818" w:rsidRPr="00250818">
        <w:t xml:space="preserve">obling </w:t>
      </w:r>
      <w:r w:rsidR="00730AD8" w:rsidRPr="00250818">
        <w:t xml:space="preserve">(HE), Richard Musgrove (ABP), </w:t>
      </w:r>
      <w:r w:rsidR="008F2ADB" w:rsidRPr="00250818">
        <w:t xml:space="preserve">Alice Taylor (LTC), Andrew Page (OBTC), </w:t>
      </w:r>
      <w:r w:rsidR="00730AD8" w:rsidRPr="00250818">
        <w:t xml:space="preserve">Bryn Griffiths (SCC), Jon Barnard (SCC), Mike Dowdall (SCC), </w:t>
      </w:r>
      <w:r w:rsidR="008F2ADB" w:rsidRPr="00250818">
        <w:t>A</w:t>
      </w:r>
      <w:r w:rsidR="00250818" w:rsidRPr="00250818">
        <w:t xml:space="preserve">iden </w:t>
      </w:r>
      <w:r w:rsidR="008F2ADB" w:rsidRPr="00250818">
        <w:t>D</w:t>
      </w:r>
      <w:r w:rsidR="00250818" w:rsidRPr="00250818">
        <w:t>unn</w:t>
      </w:r>
      <w:r w:rsidR="008F2ADB" w:rsidRPr="00250818">
        <w:t xml:space="preserve"> (SCC), </w:t>
      </w:r>
      <w:r w:rsidR="00730AD8" w:rsidRPr="00250818">
        <w:t xml:space="preserve">Andy Jarvis (WDC), Paul Wood (WDC), Sharon Bleese (WDC), </w:t>
      </w:r>
      <w:r w:rsidR="008F2ADB" w:rsidRPr="00250818">
        <w:t>Gary Bellward (WDC)</w:t>
      </w:r>
    </w:p>
    <w:p w:rsidR="009B6511" w:rsidRDefault="009B6511" w:rsidP="00B93199">
      <w:pPr>
        <w:spacing w:after="0"/>
      </w:pPr>
    </w:p>
    <w:p w:rsidR="00AC13BF" w:rsidRDefault="00B916A2" w:rsidP="00B93199">
      <w:pPr>
        <w:spacing w:after="0"/>
      </w:pPr>
      <w:r w:rsidRPr="00B916A2">
        <w:rPr>
          <w:b/>
        </w:rPr>
        <w:t>Apologies:</w:t>
      </w:r>
      <w:r>
        <w:t xml:space="preserve"> </w:t>
      </w:r>
      <w:r w:rsidR="00513E3B">
        <w:t>Karl Murphy (</w:t>
      </w:r>
      <w:proofErr w:type="spellStart"/>
      <w:r w:rsidR="00513E3B">
        <w:t>DfT</w:t>
      </w:r>
      <w:proofErr w:type="spellEnd"/>
      <w:r w:rsidR="00513E3B">
        <w:t xml:space="preserve">), </w:t>
      </w:r>
      <w:r w:rsidR="00894A4D">
        <w:t xml:space="preserve">Hannah Briggs </w:t>
      </w:r>
      <w:r w:rsidR="00513E3B">
        <w:t>(NR)</w:t>
      </w:r>
      <w:r w:rsidR="00894A4D">
        <w:t>,</w:t>
      </w:r>
      <w:r w:rsidR="00AC13BF">
        <w:t xml:space="preserve"> Paul Brooks</w:t>
      </w:r>
      <w:r w:rsidR="000F0DD0">
        <w:t xml:space="preserve"> (ABP)</w:t>
      </w:r>
      <w:r w:rsidR="00AC13BF">
        <w:t xml:space="preserve">, </w:t>
      </w:r>
      <w:r w:rsidR="00894A4D">
        <w:t xml:space="preserve">Samantha Jones (WDC), Katherine Merlo (SCC), Chris Starkie (NALEP), Michael Wilks (SCC) </w:t>
      </w:r>
      <w:r w:rsidR="00730AD8">
        <w:t>Cllr David Ritchie (WDC),</w:t>
      </w:r>
      <w:r w:rsidR="00730AD8" w:rsidRPr="00513E3B">
        <w:t xml:space="preserve"> </w:t>
      </w:r>
      <w:r w:rsidR="008F2ADB">
        <w:t>C</w:t>
      </w:r>
      <w:r w:rsidR="00730AD8">
        <w:t>llr James Finch (SCC), Warren Davies (SCC), Richard Perkins (</w:t>
      </w:r>
      <w:proofErr w:type="spellStart"/>
      <w:r w:rsidR="00730AD8">
        <w:t>SCoC</w:t>
      </w:r>
      <w:proofErr w:type="spellEnd"/>
      <w:r w:rsidR="00730AD8">
        <w:t xml:space="preserve">), </w:t>
      </w:r>
      <w:r w:rsidR="008F2ADB">
        <w:t xml:space="preserve">Carolyn Barnes (WDC), </w:t>
      </w:r>
    </w:p>
    <w:p w:rsidR="00B93199" w:rsidRDefault="00B93199" w:rsidP="00B93199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6856"/>
        <w:gridCol w:w="1574"/>
      </w:tblGrid>
      <w:tr w:rsidR="0055500A" w:rsidTr="00CA42EE">
        <w:tc>
          <w:tcPr>
            <w:tcW w:w="812" w:type="dxa"/>
          </w:tcPr>
          <w:p w:rsidR="0055500A" w:rsidRPr="0055500A" w:rsidRDefault="0055500A" w:rsidP="0055500A">
            <w:pPr>
              <w:jc w:val="center"/>
              <w:rPr>
                <w:b/>
              </w:rPr>
            </w:pPr>
            <w:r w:rsidRPr="0055500A">
              <w:rPr>
                <w:b/>
              </w:rPr>
              <w:t>No.</w:t>
            </w:r>
          </w:p>
        </w:tc>
        <w:tc>
          <w:tcPr>
            <w:tcW w:w="6856" w:type="dxa"/>
          </w:tcPr>
          <w:p w:rsidR="00B446D8" w:rsidRDefault="0055500A" w:rsidP="0055500A">
            <w:pPr>
              <w:rPr>
                <w:b/>
              </w:rPr>
            </w:pPr>
            <w:r>
              <w:rPr>
                <w:b/>
              </w:rPr>
              <w:t>Action</w:t>
            </w:r>
            <w:r w:rsidR="00B446D8">
              <w:rPr>
                <w:b/>
              </w:rPr>
              <w:t>s Arising</w:t>
            </w:r>
          </w:p>
          <w:p w:rsidR="0055500A" w:rsidRDefault="00B446D8" w:rsidP="0055500A">
            <w:r>
              <w:rPr>
                <w:b/>
              </w:rPr>
              <w:t xml:space="preserve"> </w:t>
            </w:r>
          </w:p>
        </w:tc>
        <w:tc>
          <w:tcPr>
            <w:tcW w:w="1574" w:type="dxa"/>
          </w:tcPr>
          <w:p w:rsidR="0055500A" w:rsidRPr="0055500A" w:rsidRDefault="0055500A" w:rsidP="00D82436">
            <w:pPr>
              <w:jc w:val="center"/>
              <w:rPr>
                <w:b/>
              </w:rPr>
            </w:pPr>
            <w:r w:rsidRPr="0055500A">
              <w:rPr>
                <w:b/>
              </w:rPr>
              <w:t>Lead</w:t>
            </w:r>
          </w:p>
        </w:tc>
      </w:tr>
      <w:tr w:rsidR="0055500A" w:rsidTr="00CA42EE">
        <w:tc>
          <w:tcPr>
            <w:tcW w:w="812" w:type="dxa"/>
          </w:tcPr>
          <w:p w:rsidR="0055500A" w:rsidRPr="0055500A" w:rsidRDefault="0055500A" w:rsidP="0055500A">
            <w:pPr>
              <w:jc w:val="center"/>
              <w:rPr>
                <w:b/>
              </w:rPr>
            </w:pPr>
            <w:r w:rsidRPr="0055500A">
              <w:rPr>
                <w:b/>
              </w:rPr>
              <w:t>1.</w:t>
            </w:r>
          </w:p>
        </w:tc>
        <w:tc>
          <w:tcPr>
            <w:tcW w:w="6856" w:type="dxa"/>
          </w:tcPr>
          <w:p w:rsidR="007834F5" w:rsidRDefault="008B5C1C" w:rsidP="008B5C1C">
            <w:r>
              <w:t xml:space="preserve">PA welcomed the group and asked for introductions around the room. The memorandum of understanding which </w:t>
            </w:r>
            <w:bookmarkStart w:id="0" w:name="_GoBack"/>
            <w:bookmarkEnd w:id="0"/>
            <w:r>
              <w:t>sets out the terms of reference for the group are to be circulated to new members.</w:t>
            </w:r>
          </w:p>
          <w:p w:rsidR="00C31E2E" w:rsidRDefault="00C31E2E" w:rsidP="00C31E2E"/>
        </w:tc>
        <w:tc>
          <w:tcPr>
            <w:tcW w:w="1574" w:type="dxa"/>
          </w:tcPr>
          <w:p w:rsidR="00CC41D1" w:rsidRDefault="00CC41D1" w:rsidP="00D82436">
            <w:pPr>
              <w:jc w:val="center"/>
              <w:rPr>
                <w:b/>
              </w:rPr>
            </w:pPr>
          </w:p>
          <w:p w:rsidR="008B5C1C" w:rsidRDefault="008B5C1C" w:rsidP="00D82436">
            <w:pPr>
              <w:jc w:val="center"/>
              <w:rPr>
                <w:b/>
              </w:rPr>
            </w:pPr>
          </w:p>
          <w:p w:rsidR="008B5C1C" w:rsidRPr="00CC41D1" w:rsidRDefault="008B5C1C" w:rsidP="00D82436">
            <w:pPr>
              <w:jc w:val="center"/>
              <w:rPr>
                <w:b/>
              </w:rPr>
            </w:pPr>
            <w:r>
              <w:rPr>
                <w:b/>
              </w:rPr>
              <w:t>BG/GB</w:t>
            </w:r>
          </w:p>
        </w:tc>
      </w:tr>
      <w:tr w:rsidR="0055500A" w:rsidTr="00CA42EE">
        <w:tc>
          <w:tcPr>
            <w:tcW w:w="812" w:type="dxa"/>
          </w:tcPr>
          <w:p w:rsidR="0055500A" w:rsidRPr="0055500A" w:rsidRDefault="0055500A" w:rsidP="0055500A">
            <w:pPr>
              <w:jc w:val="center"/>
              <w:rPr>
                <w:b/>
              </w:rPr>
            </w:pPr>
            <w:r w:rsidRPr="0055500A">
              <w:rPr>
                <w:b/>
              </w:rPr>
              <w:t>2.</w:t>
            </w:r>
          </w:p>
        </w:tc>
        <w:tc>
          <w:tcPr>
            <w:tcW w:w="6856" w:type="dxa"/>
          </w:tcPr>
          <w:p w:rsidR="00C31E2E" w:rsidRDefault="00C31E2E" w:rsidP="00C31E2E">
            <w:r>
              <w:t xml:space="preserve">JB provided a project update </w:t>
            </w:r>
            <w:r w:rsidR="0098290B">
              <w:t xml:space="preserve">including a presented of </w:t>
            </w:r>
            <w:r>
              <w:t>the latest designs following positive collaborations wit</w:t>
            </w:r>
            <w:r w:rsidR="00105070">
              <w:t xml:space="preserve">h a number of key stakeholders and workshops undertaken with </w:t>
            </w:r>
            <w:r>
              <w:t xml:space="preserve">WDC and CABE. The new design follows the theme of looking to Lowestoft future and the links to the </w:t>
            </w:r>
            <w:r w:rsidR="00105070">
              <w:t>offshore renewables e</w:t>
            </w:r>
            <w:r>
              <w:t>nergy sector.</w:t>
            </w:r>
          </w:p>
          <w:p w:rsidR="00422622" w:rsidRDefault="00C31E2E" w:rsidP="00C31E2E">
            <w:r>
              <w:t xml:space="preserve"> </w:t>
            </w:r>
          </w:p>
          <w:p w:rsidR="0013764E" w:rsidRDefault="00105070" w:rsidP="00C31E2E">
            <w:r>
              <w:t>The n</w:t>
            </w:r>
            <w:r w:rsidR="0013764E">
              <w:t xml:space="preserve">ext steps include further ground investigations, mainly to the south of the project </w:t>
            </w:r>
            <w:r>
              <w:t>boundary</w:t>
            </w:r>
            <w:r w:rsidR="0013764E">
              <w:t>, works to the DCO application and progressing the design and build procurement.</w:t>
            </w:r>
          </w:p>
          <w:p w:rsidR="0013764E" w:rsidRDefault="0013764E" w:rsidP="00C31E2E"/>
        </w:tc>
        <w:tc>
          <w:tcPr>
            <w:tcW w:w="1574" w:type="dxa"/>
          </w:tcPr>
          <w:p w:rsidR="008F5B0D" w:rsidRDefault="008F5B0D" w:rsidP="00D82436">
            <w:pPr>
              <w:jc w:val="center"/>
            </w:pPr>
          </w:p>
        </w:tc>
      </w:tr>
      <w:tr w:rsidR="0055500A" w:rsidTr="00CA42EE">
        <w:tc>
          <w:tcPr>
            <w:tcW w:w="812" w:type="dxa"/>
          </w:tcPr>
          <w:p w:rsidR="0055500A" w:rsidRPr="0055500A" w:rsidRDefault="0055500A" w:rsidP="0055500A">
            <w:pPr>
              <w:jc w:val="center"/>
              <w:rPr>
                <w:b/>
              </w:rPr>
            </w:pPr>
            <w:r w:rsidRPr="0055500A">
              <w:rPr>
                <w:b/>
              </w:rPr>
              <w:t>3.</w:t>
            </w:r>
          </w:p>
        </w:tc>
        <w:tc>
          <w:tcPr>
            <w:tcW w:w="6856" w:type="dxa"/>
          </w:tcPr>
          <w:p w:rsidR="0072531F" w:rsidRDefault="00C31E2E" w:rsidP="00C31E2E">
            <w:r>
              <w:t xml:space="preserve">JB gave an overview of the consultation events thus far highlighting its importance in the planning process. To this end, SCC </w:t>
            </w:r>
            <w:r w:rsidR="00105070">
              <w:t>has</w:t>
            </w:r>
            <w:r>
              <w:t xml:space="preserve"> extended the consultation period by an additional week (ending on the 24</w:t>
            </w:r>
            <w:r w:rsidRPr="00C31E2E">
              <w:rPr>
                <w:vertAlign w:val="superscript"/>
              </w:rPr>
              <w:t>th</w:t>
            </w:r>
            <w:r>
              <w:t xml:space="preserve"> October) and includes an extra event in </w:t>
            </w:r>
            <w:proofErr w:type="spellStart"/>
            <w:r>
              <w:t>Pakefield</w:t>
            </w:r>
            <w:proofErr w:type="spellEnd"/>
            <w:r>
              <w:t>.</w:t>
            </w:r>
          </w:p>
          <w:p w:rsidR="00C31E2E" w:rsidRDefault="00C31E2E" w:rsidP="00C31E2E"/>
          <w:p w:rsidR="00422622" w:rsidRDefault="00422622" w:rsidP="00C31E2E">
            <w:r>
              <w:t xml:space="preserve">JB confirmed that </w:t>
            </w:r>
            <w:r w:rsidR="00105070">
              <w:t xml:space="preserve">all </w:t>
            </w:r>
            <w:r>
              <w:t xml:space="preserve">responses </w:t>
            </w:r>
            <w:r w:rsidR="00105070">
              <w:t xml:space="preserve">received from the consultation period </w:t>
            </w:r>
            <w:r>
              <w:t xml:space="preserve">will be collated within </w:t>
            </w:r>
            <w:r w:rsidR="00010174">
              <w:t xml:space="preserve">the consultation </w:t>
            </w:r>
            <w:r>
              <w:t>report</w:t>
            </w:r>
            <w:r w:rsidR="00010174">
              <w:t xml:space="preserve"> which will be submitted as part of the application and</w:t>
            </w:r>
            <w:r>
              <w:t xml:space="preserve"> housed on the SCC website</w:t>
            </w:r>
            <w:r w:rsidR="00010174">
              <w:t xml:space="preserve"> shortly after</w:t>
            </w:r>
            <w:r>
              <w:t xml:space="preserve">. </w:t>
            </w:r>
            <w:r w:rsidR="00105070">
              <w:t xml:space="preserve">To date, the majority of </w:t>
            </w:r>
            <w:r>
              <w:t>resp</w:t>
            </w:r>
            <w:r w:rsidR="00105070">
              <w:t xml:space="preserve">onses have been received online; </w:t>
            </w:r>
            <w:r>
              <w:t xml:space="preserve">with </w:t>
            </w:r>
            <w:r w:rsidR="00010174">
              <w:t xml:space="preserve">a high level of support for </w:t>
            </w:r>
            <w:r>
              <w:t xml:space="preserve">the </w:t>
            </w:r>
            <w:r w:rsidR="00105070">
              <w:t xml:space="preserve">project </w:t>
            </w:r>
            <w:r>
              <w:t xml:space="preserve">and </w:t>
            </w:r>
            <w:r w:rsidR="00010174">
              <w:t>its</w:t>
            </w:r>
            <w:r>
              <w:t xml:space="preserve"> design. </w:t>
            </w:r>
          </w:p>
          <w:p w:rsidR="00422622" w:rsidRDefault="00422622" w:rsidP="00C31E2E"/>
          <w:p w:rsidR="0013764E" w:rsidRDefault="0013764E" w:rsidP="00C31E2E">
            <w:r>
              <w:t>JB urged all stakeholders to continue to promote the consultation events and encourage as much feedback as possible.</w:t>
            </w:r>
          </w:p>
          <w:p w:rsidR="0013764E" w:rsidRDefault="0013764E" w:rsidP="00C31E2E"/>
        </w:tc>
        <w:tc>
          <w:tcPr>
            <w:tcW w:w="1574" w:type="dxa"/>
          </w:tcPr>
          <w:p w:rsidR="005B211D" w:rsidRDefault="005B211D" w:rsidP="00D82436">
            <w:pPr>
              <w:jc w:val="center"/>
              <w:rPr>
                <w:b/>
              </w:rPr>
            </w:pPr>
          </w:p>
          <w:p w:rsidR="0013764E" w:rsidRDefault="0013764E" w:rsidP="00D82436">
            <w:pPr>
              <w:jc w:val="center"/>
              <w:rPr>
                <w:b/>
              </w:rPr>
            </w:pPr>
          </w:p>
          <w:p w:rsidR="0013764E" w:rsidRDefault="0013764E" w:rsidP="00D82436">
            <w:pPr>
              <w:jc w:val="center"/>
              <w:rPr>
                <w:b/>
              </w:rPr>
            </w:pPr>
          </w:p>
          <w:p w:rsidR="0013764E" w:rsidRDefault="0013764E" w:rsidP="00D82436">
            <w:pPr>
              <w:jc w:val="center"/>
              <w:rPr>
                <w:b/>
              </w:rPr>
            </w:pPr>
          </w:p>
          <w:p w:rsidR="0013764E" w:rsidRDefault="0013764E" w:rsidP="00D82436">
            <w:pPr>
              <w:jc w:val="center"/>
              <w:rPr>
                <w:b/>
              </w:rPr>
            </w:pPr>
          </w:p>
          <w:p w:rsidR="0013764E" w:rsidRDefault="0013764E" w:rsidP="00D82436">
            <w:pPr>
              <w:jc w:val="center"/>
              <w:rPr>
                <w:b/>
              </w:rPr>
            </w:pPr>
          </w:p>
          <w:p w:rsidR="0013764E" w:rsidRDefault="0013764E" w:rsidP="00D82436">
            <w:pPr>
              <w:jc w:val="center"/>
              <w:rPr>
                <w:b/>
              </w:rPr>
            </w:pPr>
          </w:p>
          <w:p w:rsidR="0013764E" w:rsidRDefault="0013764E" w:rsidP="00D82436">
            <w:pPr>
              <w:jc w:val="center"/>
              <w:rPr>
                <w:b/>
              </w:rPr>
            </w:pPr>
          </w:p>
          <w:p w:rsidR="0013764E" w:rsidRDefault="0013764E" w:rsidP="00D82436">
            <w:pPr>
              <w:jc w:val="center"/>
              <w:rPr>
                <w:b/>
              </w:rPr>
            </w:pPr>
          </w:p>
          <w:p w:rsidR="0013764E" w:rsidRDefault="0013764E" w:rsidP="00D82436">
            <w:pPr>
              <w:jc w:val="center"/>
              <w:rPr>
                <w:b/>
              </w:rPr>
            </w:pPr>
          </w:p>
          <w:p w:rsidR="0013764E" w:rsidRDefault="0013764E" w:rsidP="00D82436">
            <w:pPr>
              <w:jc w:val="center"/>
              <w:rPr>
                <w:b/>
              </w:rPr>
            </w:pPr>
          </w:p>
          <w:p w:rsidR="0013764E" w:rsidRPr="00C352E3" w:rsidRDefault="0013764E" w:rsidP="00D82436">
            <w:pPr>
              <w:jc w:val="center"/>
              <w:rPr>
                <w:b/>
              </w:rPr>
            </w:pPr>
            <w:r>
              <w:rPr>
                <w:b/>
              </w:rPr>
              <w:t>ALL</w:t>
            </w:r>
          </w:p>
        </w:tc>
      </w:tr>
      <w:tr w:rsidR="0055500A" w:rsidTr="00CA42EE">
        <w:tc>
          <w:tcPr>
            <w:tcW w:w="812" w:type="dxa"/>
          </w:tcPr>
          <w:p w:rsidR="0055500A" w:rsidRPr="0055500A" w:rsidRDefault="004C70C0" w:rsidP="0055500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856" w:type="dxa"/>
          </w:tcPr>
          <w:p w:rsidR="005575BA" w:rsidRDefault="00422622" w:rsidP="0072531F">
            <w:r>
              <w:t xml:space="preserve">JB reviewed the </w:t>
            </w:r>
            <w:r w:rsidR="005575BA">
              <w:t xml:space="preserve">key </w:t>
            </w:r>
            <w:r>
              <w:t>risks</w:t>
            </w:r>
            <w:r w:rsidR="005575BA">
              <w:t xml:space="preserve"> stating that not much had changed since the last meeting. </w:t>
            </w:r>
            <w:r w:rsidR="00010174">
              <w:t>Cost is a major factor of its delivery and JB gave an example of how this is being managed.</w:t>
            </w:r>
          </w:p>
          <w:p w:rsidR="005575BA" w:rsidRDefault="005575BA" w:rsidP="0072531F"/>
          <w:p w:rsidR="00995B1B" w:rsidRDefault="005575BA" w:rsidP="00995B1B">
            <w:r>
              <w:t xml:space="preserve">It was confirmed that both the Lake Lothing Crossing and the Flood Defence projects are working closely </w:t>
            </w:r>
            <w:r w:rsidR="00995B1B">
              <w:t>to ensure no conflicts.</w:t>
            </w:r>
          </w:p>
          <w:p w:rsidR="00995B1B" w:rsidRDefault="00995B1B" w:rsidP="00995B1B"/>
          <w:p w:rsidR="00995B1B" w:rsidRDefault="00105070" w:rsidP="00995B1B">
            <w:r>
              <w:t>When questioned</w:t>
            </w:r>
            <w:r w:rsidR="00995B1B">
              <w:t xml:space="preserve"> about future capacity issues, JB confirmed that the modelling demonstrates the project can cope with expected growth reported in the Suffolk Growth Plan which runs until 2037. He added that </w:t>
            </w:r>
            <w:r w:rsidR="00995B1B">
              <w:lastRenderedPageBreak/>
              <w:t>the reduction in traffic load to the surround network also opened opportunities for future improvements.</w:t>
            </w:r>
          </w:p>
          <w:p w:rsidR="00995B1B" w:rsidRDefault="00995B1B" w:rsidP="00995B1B"/>
        </w:tc>
        <w:tc>
          <w:tcPr>
            <w:tcW w:w="1574" w:type="dxa"/>
          </w:tcPr>
          <w:p w:rsidR="002A626D" w:rsidRPr="002A626D" w:rsidRDefault="002A626D" w:rsidP="00D82436">
            <w:pPr>
              <w:jc w:val="center"/>
            </w:pPr>
          </w:p>
        </w:tc>
      </w:tr>
      <w:tr w:rsidR="0055500A" w:rsidTr="00CA42EE">
        <w:tc>
          <w:tcPr>
            <w:tcW w:w="812" w:type="dxa"/>
          </w:tcPr>
          <w:p w:rsidR="0055500A" w:rsidRPr="0055500A" w:rsidRDefault="005D7C0F" w:rsidP="0055500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6856" w:type="dxa"/>
          </w:tcPr>
          <w:p w:rsidR="005B211D" w:rsidRDefault="00995B1B" w:rsidP="005B211D">
            <w:r>
              <w:t xml:space="preserve">JB confirmed that display boards are being erected on site to communicate progress on the project. </w:t>
            </w:r>
          </w:p>
          <w:p w:rsidR="007B23C9" w:rsidRDefault="007B23C9" w:rsidP="005B211D"/>
          <w:p w:rsidR="007B23C9" w:rsidRDefault="007B23C9" w:rsidP="005B211D">
            <w:r>
              <w:t xml:space="preserve">CN highlighted the importance of communications in the coming months stating the need for a robust communications plan. </w:t>
            </w:r>
          </w:p>
          <w:p w:rsidR="007B23C9" w:rsidRDefault="007B23C9" w:rsidP="005B211D"/>
          <w:p w:rsidR="007B23C9" w:rsidRDefault="007B23C9" w:rsidP="005B211D">
            <w:r>
              <w:t>BG suggested that links to the feedback forms and latest interpretation videos are advertised on stakeholder websites. GB to ensure link is circulated accordingly.</w:t>
            </w:r>
          </w:p>
          <w:p w:rsidR="00995B1B" w:rsidRDefault="00995B1B" w:rsidP="005B211D"/>
        </w:tc>
        <w:tc>
          <w:tcPr>
            <w:tcW w:w="1574" w:type="dxa"/>
          </w:tcPr>
          <w:p w:rsidR="005B211D" w:rsidRDefault="005B211D" w:rsidP="00D82436">
            <w:pPr>
              <w:jc w:val="center"/>
              <w:rPr>
                <w:b/>
              </w:rPr>
            </w:pPr>
          </w:p>
          <w:p w:rsidR="007B23C9" w:rsidRDefault="007B23C9" w:rsidP="00D82436">
            <w:pPr>
              <w:jc w:val="center"/>
              <w:rPr>
                <w:b/>
              </w:rPr>
            </w:pPr>
          </w:p>
          <w:p w:rsidR="007B23C9" w:rsidRDefault="007B23C9" w:rsidP="00D82436">
            <w:pPr>
              <w:jc w:val="center"/>
              <w:rPr>
                <w:b/>
              </w:rPr>
            </w:pPr>
          </w:p>
          <w:p w:rsidR="007B23C9" w:rsidRDefault="007B23C9" w:rsidP="00D82436">
            <w:pPr>
              <w:jc w:val="center"/>
              <w:rPr>
                <w:b/>
              </w:rPr>
            </w:pPr>
          </w:p>
          <w:p w:rsidR="007B23C9" w:rsidRDefault="007B23C9" w:rsidP="00D82436">
            <w:pPr>
              <w:jc w:val="center"/>
              <w:rPr>
                <w:b/>
              </w:rPr>
            </w:pPr>
          </w:p>
          <w:p w:rsidR="007B23C9" w:rsidRDefault="007B23C9" w:rsidP="00D82436">
            <w:pPr>
              <w:jc w:val="center"/>
              <w:rPr>
                <w:b/>
              </w:rPr>
            </w:pPr>
          </w:p>
          <w:p w:rsidR="007B23C9" w:rsidRDefault="007B23C9" w:rsidP="00D82436">
            <w:pPr>
              <w:jc w:val="center"/>
              <w:rPr>
                <w:b/>
              </w:rPr>
            </w:pPr>
          </w:p>
          <w:p w:rsidR="007B23C9" w:rsidRDefault="007B23C9" w:rsidP="00D82436">
            <w:pPr>
              <w:jc w:val="center"/>
              <w:rPr>
                <w:b/>
              </w:rPr>
            </w:pPr>
          </w:p>
          <w:p w:rsidR="007B23C9" w:rsidRPr="005B211D" w:rsidRDefault="007B23C9" w:rsidP="00D82436">
            <w:pPr>
              <w:jc w:val="center"/>
              <w:rPr>
                <w:b/>
              </w:rPr>
            </w:pPr>
            <w:r>
              <w:rPr>
                <w:b/>
              </w:rPr>
              <w:t>GB</w:t>
            </w:r>
          </w:p>
        </w:tc>
      </w:tr>
      <w:tr w:rsidR="0055500A" w:rsidTr="00CA42EE">
        <w:tc>
          <w:tcPr>
            <w:tcW w:w="812" w:type="dxa"/>
          </w:tcPr>
          <w:p w:rsidR="005D7C0F" w:rsidRPr="0055500A" w:rsidRDefault="005D7C0F" w:rsidP="000016DB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856" w:type="dxa"/>
          </w:tcPr>
          <w:p w:rsidR="007B23C9" w:rsidRDefault="007B23C9" w:rsidP="005D7C0F">
            <w:r>
              <w:t xml:space="preserve">It was confirmed that there is no impacts to consultation </w:t>
            </w:r>
            <w:r w:rsidR="00105070">
              <w:t xml:space="preserve">in </w:t>
            </w:r>
            <w:r>
              <w:t xml:space="preserve">conjunction with the Local Plan Review. PW/GB to ensure meeting spaces is available as appropriate. </w:t>
            </w:r>
          </w:p>
          <w:p w:rsidR="007B23C9" w:rsidRDefault="007B23C9" w:rsidP="005D7C0F"/>
          <w:p w:rsidR="007B23C9" w:rsidRDefault="007B23C9" w:rsidP="005D7C0F">
            <w:r>
              <w:t>AJ welcomed the opportunity for partners to meet with HE on wider issues around the timings of the Stakeholder meeti</w:t>
            </w:r>
            <w:r w:rsidR="00CD73BE">
              <w:t>ngs.</w:t>
            </w:r>
          </w:p>
          <w:p w:rsidR="007B23C9" w:rsidRDefault="007B23C9" w:rsidP="005D7C0F"/>
        </w:tc>
        <w:tc>
          <w:tcPr>
            <w:tcW w:w="1574" w:type="dxa"/>
          </w:tcPr>
          <w:p w:rsidR="00F23508" w:rsidRDefault="00F23508" w:rsidP="00D82436">
            <w:pPr>
              <w:jc w:val="center"/>
            </w:pPr>
          </w:p>
          <w:p w:rsidR="007B23C9" w:rsidRDefault="007B23C9" w:rsidP="00D82436">
            <w:pPr>
              <w:jc w:val="center"/>
            </w:pPr>
          </w:p>
          <w:p w:rsidR="007B23C9" w:rsidRPr="007B23C9" w:rsidRDefault="007B23C9" w:rsidP="00D82436">
            <w:pPr>
              <w:jc w:val="center"/>
              <w:rPr>
                <w:b/>
              </w:rPr>
            </w:pPr>
            <w:r w:rsidRPr="007B23C9">
              <w:rPr>
                <w:b/>
              </w:rPr>
              <w:t>JB/PW/GB</w:t>
            </w:r>
          </w:p>
        </w:tc>
      </w:tr>
      <w:tr w:rsidR="00E431E3" w:rsidTr="00CA42EE">
        <w:tc>
          <w:tcPr>
            <w:tcW w:w="812" w:type="dxa"/>
          </w:tcPr>
          <w:p w:rsidR="00E431E3" w:rsidRDefault="00E431E3" w:rsidP="000016DB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856" w:type="dxa"/>
          </w:tcPr>
          <w:p w:rsidR="00E431E3" w:rsidRDefault="00CD73BE" w:rsidP="002A0B31">
            <w:r>
              <w:t>Next meeting scheduled for 15</w:t>
            </w:r>
            <w:r w:rsidRPr="00CD73BE">
              <w:rPr>
                <w:vertAlign w:val="superscript"/>
              </w:rPr>
              <w:t>th</w:t>
            </w:r>
            <w:r>
              <w:t xml:space="preserve"> December at 10:00, Riverside Road.</w:t>
            </w:r>
          </w:p>
          <w:p w:rsidR="00CD73BE" w:rsidRDefault="00CD73BE" w:rsidP="002A0B31"/>
        </w:tc>
        <w:tc>
          <w:tcPr>
            <w:tcW w:w="1574" w:type="dxa"/>
          </w:tcPr>
          <w:p w:rsidR="00E431E3" w:rsidRPr="00E431E3" w:rsidRDefault="00E431E3" w:rsidP="00D82436">
            <w:pPr>
              <w:jc w:val="center"/>
              <w:rPr>
                <w:b/>
              </w:rPr>
            </w:pPr>
          </w:p>
        </w:tc>
      </w:tr>
    </w:tbl>
    <w:p w:rsidR="00CD0AD5" w:rsidRPr="0055500A" w:rsidRDefault="00CD0AD5" w:rsidP="00B93199"/>
    <w:sectPr w:rsidR="00CD0AD5" w:rsidRPr="0055500A" w:rsidSect="00B9319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477D7"/>
    <w:multiLevelType w:val="hybridMultilevel"/>
    <w:tmpl w:val="ECCAB6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03580"/>
    <w:multiLevelType w:val="hybridMultilevel"/>
    <w:tmpl w:val="ECCAB6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F1D82"/>
    <w:multiLevelType w:val="hybridMultilevel"/>
    <w:tmpl w:val="69487386"/>
    <w:lvl w:ilvl="0" w:tplc="4268E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89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47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87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26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41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543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43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2C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n Barnard">
    <w15:presenceInfo w15:providerId="AD" w15:userId="S-1-5-21-320318436-277146499-3611779707-1616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7E"/>
    <w:rsid w:val="000016DB"/>
    <w:rsid w:val="00010174"/>
    <w:rsid w:val="00024C5A"/>
    <w:rsid w:val="00060FAD"/>
    <w:rsid w:val="00084578"/>
    <w:rsid w:val="000953B2"/>
    <w:rsid w:val="000C488C"/>
    <w:rsid w:val="000F0DD0"/>
    <w:rsid w:val="00105070"/>
    <w:rsid w:val="0013764E"/>
    <w:rsid w:val="001D079C"/>
    <w:rsid w:val="001F6C2E"/>
    <w:rsid w:val="00250818"/>
    <w:rsid w:val="00296958"/>
    <w:rsid w:val="002A0B31"/>
    <w:rsid w:val="002A626D"/>
    <w:rsid w:val="002C73F9"/>
    <w:rsid w:val="003712BD"/>
    <w:rsid w:val="00383FF4"/>
    <w:rsid w:val="00422622"/>
    <w:rsid w:val="00471D2B"/>
    <w:rsid w:val="004C70C0"/>
    <w:rsid w:val="0051268F"/>
    <w:rsid w:val="00513E3B"/>
    <w:rsid w:val="005464D9"/>
    <w:rsid w:val="0055500A"/>
    <w:rsid w:val="005575BA"/>
    <w:rsid w:val="00597F7B"/>
    <w:rsid w:val="005B211D"/>
    <w:rsid w:val="005D7C0F"/>
    <w:rsid w:val="00624242"/>
    <w:rsid w:val="006A596A"/>
    <w:rsid w:val="0072531F"/>
    <w:rsid w:val="00730AD8"/>
    <w:rsid w:val="007834F5"/>
    <w:rsid w:val="007B23C9"/>
    <w:rsid w:val="00814207"/>
    <w:rsid w:val="008162C7"/>
    <w:rsid w:val="00834708"/>
    <w:rsid w:val="008500E2"/>
    <w:rsid w:val="00885191"/>
    <w:rsid w:val="00894A4D"/>
    <w:rsid w:val="00895C56"/>
    <w:rsid w:val="008A76FE"/>
    <w:rsid w:val="008B5C1C"/>
    <w:rsid w:val="008C2447"/>
    <w:rsid w:val="008D35C7"/>
    <w:rsid w:val="008F2ADB"/>
    <w:rsid w:val="008F5B0D"/>
    <w:rsid w:val="00951C6E"/>
    <w:rsid w:val="0098290B"/>
    <w:rsid w:val="00995B1B"/>
    <w:rsid w:val="009B1786"/>
    <w:rsid w:val="009B6511"/>
    <w:rsid w:val="009C2C04"/>
    <w:rsid w:val="009D29A8"/>
    <w:rsid w:val="00AC13BF"/>
    <w:rsid w:val="00AC62CB"/>
    <w:rsid w:val="00B31813"/>
    <w:rsid w:val="00B446D8"/>
    <w:rsid w:val="00B916A2"/>
    <w:rsid w:val="00B93199"/>
    <w:rsid w:val="00B9597D"/>
    <w:rsid w:val="00BB0A25"/>
    <w:rsid w:val="00C142F8"/>
    <w:rsid w:val="00C31E2E"/>
    <w:rsid w:val="00C352E3"/>
    <w:rsid w:val="00C36A57"/>
    <w:rsid w:val="00CA42EE"/>
    <w:rsid w:val="00CC41D1"/>
    <w:rsid w:val="00CD0AD5"/>
    <w:rsid w:val="00CD73BE"/>
    <w:rsid w:val="00CF2377"/>
    <w:rsid w:val="00D622E5"/>
    <w:rsid w:val="00D82436"/>
    <w:rsid w:val="00DE4B29"/>
    <w:rsid w:val="00E431E3"/>
    <w:rsid w:val="00E45764"/>
    <w:rsid w:val="00E53036"/>
    <w:rsid w:val="00E837BE"/>
    <w:rsid w:val="00E91D7E"/>
    <w:rsid w:val="00EC66BE"/>
    <w:rsid w:val="00F04CBF"/>
    <w:rsid w:val="00F23508"/>
    <w:rsid w:val="00F25B25"/>
    <w:rsid w:val="00F6505E"/>
    <w:rsid w:val="00F71FD5"/>
    <w:rsid w:val="00F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958"/>
    <w:pPr>
      <w:ind w:left="720"/>
      <w:contextualSpacing/>
    </w:pPr>
  </w:style>
  <w:style w:type="table" w:styleId="TableGrid">
    <w:name w:val="Table Grid"/>
    <w:basedOn w:val="TableNormal"/>
    <w:uiPriority w:val="59"/>
    <w:rsid w:val="0055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6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2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958"/>
    <w:pPr>
      <w:ind w:left="720"/>
      <w:contextualSpacing/>
    </w:pPr>
  </w:style>
  <w:style w:type="table" w:styleId="TableGrid">
    <w:name w:val="Table Grid"/>
    <w:basedOn w:val="TableNormal"/>
    <w:uiPriority w:val="59"/>
    <w:rsid w:val="0055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6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44B6-BC85-47DB-B6B0-FA161187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Suffolk Partnership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Bellward</dc:creator>
  <cp:lastModifiedBy>Gary Bellward</cp:lastModifiedBy>
  <cp:revision>2</cp:revision>
  <dcterms:created xsi:type="dcterms:W3CDTF">2017-09-26T12:31:00Z</dcterms:created>
  <dcterms:modified xsi:type="dcterms:W3CDTF">2017-09-26T12:31:00Z</dcterms:modified>
</cp:coreProperties>
</file>