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00" w:right="0" w:firstLine="0"/>
        <w:jc w:val="left"/>
        <w:rPr>
          <w:b/>
          <w:sz w:val="28"/>
        </w:rPr>
      </w:pPr>
      <w:r>
        <w:rPr>
          <w:b/>
          <w:sz w:val="28"/>
        </w:rPr>
        <w:t>Lake Lothing Crossing Key Stakeholders Group Actions – 30</w:t>
      </w:r>
      <w:r>
        <w:rPr>
          <w:b/>
          <w:sz w:val="28"/>
          <w:vertAlign w:val="superscript"/>
        </w:rPr>
        <w:t>th</w:t>
      </w:r>
      <w:r>
        <w:rPr>
          <w:b/>
          <w:sz w:val="28"/>
          <w:vertAlign w:val="baseline"/>
        </w:rPr>
        <w:t> June 2017</w:t>
      </w:r>
    </w:p>
    <w:p>
      <w:pPr>
        <w:pStyle w:val="BodyText"/>
        <w:spacing w:line="276" w:lineRule="auto" w:before="251"/>
        <w:ind w:left="100" w:right="98"/>
      </w:pPr>
      <w:r>
        <w:rPr>
          <w:b/>
        </w:rPr>
        <w:t>Attendees: </w:t>
      </w:r>
      <w:r>
        <w:rPr/>
        <w:t>Peter Aldous MP, Cllr Mark Bee (WDC), Cllr David Ritchie (WDC), Cllr Sonia Barker (WDC), Cllr James Reeder (SCC), Cllr James Finch (SCC), Bryn Griffiths (SCC), Jon Barnard (SCC), Warren Davies (SCC), Richard Musgrove (ABP), Richard Perkins (SCoC), Andy Jarvis (WDC), Carolyn Barnes (WDC), Nigel Allsop (HE), Gary Bellward (WDC)</w:t>
      </w:r>
    </w:p>
    <w:p>
      <w:pPr>
        <w:pStyle w:val="BodyText"/>
        <w:spacing w:before="3"/>
        <w:rPr>
          <w:sz w:val="25"/>
        </w:rPr>
      </w:pPr>
    </w:p>
    <w:p>
      <w:pPr>
        <w:pStyle w:val="BodyText"/>
        <w:spacing w:line="276" w:lineRule="auto"/>
        <w:ind w:left="100" w:right="100"/>
      </w:pPr>
      <w:r>
        <w:rPr>
          <w:b/>
        </w:rPr>
        <w:t>Apologies: </w:t>
      </w:r>
      <w:r>
        <w:rPr/>
        <w:t>Karl Murphy (DfT), Mike Dowdall (SCC),Hannah Briggs (NR), Paul Brooks (ABP), Cllr Guy McGregor (SCC), Stephen Greenhill (HE), Cllr Michael Ladd (WDC), Samantha Jones (WDC), Katherine Merlo (SCC), Chris Starkie (NALEP), Michael Wilks (SCC)</w:t>
      </w:r>
    </w:p>
    <w:p>
      <w:pPr>
        <w:pStyle w:val="BodyText"/>
        <w:spacing w:before="11"/>
        <w:rPr>
          <w:sz w:val="28"/>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6"/>
        <w:gridCol w:w="6956"/>
        <w:gridCol w:w="979"/>
      </w:tblGrid>
      <w:tr>
        <w:trPr>
          <w:trHeight w:val="379" w:hRule="atLeast"/>
        </w:trPr>
        <w:tc>
          <w:tcPr>
            <w:tcW w:w="696" w:type="dxa"/>
          </w:tcPr>
          <w:p>
            <w:pPr>
              <w:pStyle w:val="TableParagraph"/>
              <w:spacing w:line="225" w:lineRule="exact"/>
              <w:ind w:left="180" w:right="154"/>
              <w:jc w:val="center"/>
              <w:rPr>
                <w:b/>
                <w:sz w:val="22"/>
              </w:rPr>
            </w:pPr>
            <w:r>
              <w:rPr>
                <w:b/>
                <w:sz w:val="22"/>
              </w:rPr>
              <w:t>No.</w:t>
            </w:r>
          </w:p>
        </w:tc>
        <w:tc>
          <w:tcPr>
            <w:tcW w:w="6956" w:type="dxa"/>
          </w:tcPr>
          <w:p>
            <w:pPr>
              <w:pStyle w:val="TableParagraph"/>
              <w:spacing w:line="225" w:lineRule="exact"/>
              <w:ind w:left="173"/>
              <w:rPr>
                <w:b/>
                <w:sz w:val="22"/>
              </w:rPr>
            </w:pPr>
            <w:r>
              <w:rPr>
                <w:b/>
                <w:sz w:val="22"/>
              </w:rPr>
              <w:t>Actions Arising</w:t>
            </w:r>
          </w:p>
        </w:tc>
        <w:tc>
          <w:tcPr>
            <w:tcW w:w="979" w:type="dxa"/>
          </w:tcPr>
          <w:p>
            <w:pPr>
              <w:pStyle w:val="TableParagraph"/>
              <w:spacing w:line="225" w:lineRule="exact"/>
              <w:ind w:left="329" w:right="179"/>
              <w:jc w:val="center"/>
              <w:rPr>
                <w:b/>
                <w:sz w:val="22"/>
              </w:rPr>
            </w:pPr>
            <w:r>
              <w:rPr>
                <w:b/>
                <w:sz w:val="22"/>
              </w:rPr>
              <w:t>Lead</w:t>
            </w:r>
          </w:p>
        </w:tc>
      </w:tr>
      <w:tr>
        <w:trPr>
          <w:trHeight w:val="1746" w:hRule="atLeast"/>
        </w:trPr>
        <w:tc>
          <w:tcPr>
            <w:tcW w:w="696" w:type="dxa"/>
          </w:tcPr>
          <w:p>
            <w:pPr>
              <w:pStyle w:val="TableParagraph"/>
              <w:spacing w:before="114"/>
              <w:ind w:left="179" w:right="154"/>
              <w:jc w:val="center"/>
              <w:rPr>
                <w:b/>
                <w:sz w:val="22"/>
              </w:rPr>
            </w:pPr>
            <w:r>
              <w:rPr>
                <w:b/>
                <w:sz w:val="22"/>
              </w:rPr>
              <w:t>1.</w:t>
            </w:r>
          </w:p>
        </w:tc>
        <w:tc>
          <w:tcPr>
            <w:tcW w:w="6956" w:type="dxa"/>
            <w:vMerge w:val="restart"/>
          </w:tcPr>
          <w:p>
            <w:pPr>
              <w:pStyle w:val="TableParagraph"/>
              <w:spacing w:before="114"/>
              <w:ind w:left="173" w:right="371"/>
              <w:rPr>
                <w:sz w:val="22"/>
              </w:rPr>
            </w:pPr>
            <w:r>
              <w:rPr>
                <w:sz w:val="22"/>
              </w:rPr>
              <w:t>PA welcomed the group and provided a political update following the recent events in central government. It was noted that whilst there had been a number of ministerial changes, the project remained very important to both Westminster and the DfT.</w:t>
            </w:r>
          </w:p>
          <w:p>
            <w:pPr>
              <w:pStyle w:val="TableParagraph"/>
              <w:spacing w:before="12"/>
              <w:rPr>
                <w:sz w:val="21"/>
              </w:rPr>
            </w:pPr>
          </w:p>
          <w:p>
            <w:pPr>
              <w:pStyle w:val="TableParagraph"/>
              <w:ind w:left="173" w:right="555"/>
              <w:rPr>
                <w:sz w:val="22"/>
              </w:rPr>
            </w:pPr>
            <w:r>
              <w:rPr>
                <w:sz w:val="22"/>
              </w:rPr>
              <w:t>PA confirmed changes to group member titles with Cllr Mark Bee becoming the new leader for Waveney District Council and Cllr James Reeder no longer representing the Lowestoft &amp; Waveney Chamber of Commerce and attends as a Suffolk County Councillor.</w:t>
            </w:r>
          </w:p>
          <w:p>
            <w:pPr>
              <w:pStyle w:val="TableParagraph"/>
              <w:spacing w:before="1"/>
              <w:rPr>
                <w:sz w:val="22"/>
              </w:rPr>
            </w:pPr>
          </w:p>
          <w:p>
            <w:pPr>
              <w:pStyle w:val="TableParagraph"/>
              <w:ind w:left="173" w:right="372"/>
              <w:rPr>
                <w:sz w:val="22"/>
              </w:rPr>
            </w:pPr>
            <w:r>
              <w:rPr>
                <w:sz w:val="22"/>
              </w:rPr>
              <w:t>The group agreed that town council representation from Lowestoft and Oulton Broad be invited to future meetings.</w:t>
            </w:r>
          </w:p>
        </w:tc>
        <w:tc>
          <w:tcPr>
            <w:tcW w:w="979" w:type="dxa"/>
          </w:tcPr>
          <w:p>
            <w:pPr>
              <w:pStyle w:val="TableParagraph"/>
              <w:rPr>
                <w:rFonts w:ascii="Times New Roman"/>
                <w:sz w:val="22"/>
              </w:rPr>
            </w:pPr>
          </w:p>
        </w:tc>
      </w:tr>
      <w:tr>
        <w:trPr>
          <w:trHeight w:val="1746" w:hRule="atLeast"/>
        </w:trPr>
        <w:tc>
          <w:tcPr>
            <w:tcW w:w="696" w:type="dxa"/>
          </w:tcPr>
          <w:p>
            <w:pPr>
              <w:pStyle w:val="TableParagraph"/>
              <w:rPr>
                <w:rFonts w:ascii="Times New Roman"/>
                <w:sz w:val="22"/>
              </w:rPr>
            </w:pPr>
          </w:p>
        </w:tc>
        <w:tc>
          <w:tcPr>
            <w:tcW w:w="6956" w:type="dxa"/>
            <w:vMerge/>
            <w:tcBorders>
              <w:top w:val="nil"/>
            </w:tcBorders>
          </w:tcPr>
          <w:p>
            <w:pPr>
              <w:rPr>
                <w:sz w:val="2"/>
                <w:szCs w:val="2"/>
              </w:rPr>
            </w:pPr>
          </w:p>
        </w:tc>
        <w:tc>
          <w:tcPr>
            <w:tcW w:w="97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0"/>
              </w:rPr>
            </w:pPr>
          </w:p>
          <w:p>
            <w:pPr>
              <w:pStyle w:val="TableParagraph"/>
              <w:spacing w:before="1"/>
              <w:ind w:left="328" w:right="179"/>
              <w:jc w:val="center"/>
              <w:rPr>
                <w:b/>
                <w:sz w:val="22"/>
              </w:rPr>
            </w:pPr>
            <w:r>
              <w:rPr>
                <w:b/>
                <w:sz w:val="22"/>
              </w:rPr>
              <w:t>GB</w:t>
            </w:r>
          </w:p>
        </w:tc>
      </w:tr>
      <w:tr>
        <w:trPr>
          <w:trHeight w:val="3222" w:hRule="atLeast"/>
        </w:trPr>
        <w:tc>
          <w:tcPr>
            <w:tcW w:w="696" w:type="dxa"/>
          </w:tcPr>
          <w:p>
            <w:pPr>
              <w:pStyle w:val="TableParagraph"/>
              <w:spacing w:before="114"/>
              <w:ind w:left="179" w:right="154"/>
              <w:jc w:val="center"/>
              <w:rPr>
                <w:b/>
                <w:sz w:val="22"/>
              </w:rPr>
            </w:pPr>
            <w:r>
              <w:rPr>
                <w:b/>
                <w:sz w:val="22"/>
              </w:rPr>
              <w:t>2.</w:t>
            </w:r>
          </w:p>
        </w:tc>
        <w:tc>
          <w:tcPr>
            <w:tcW w:w="6956" w:type="dxa"/>
          </w:tcPr>
          <w:p>
            <w:pPr>
              <w:pStyle w:val="TableParagraph"/>
              <w:spacing w:before="114"/>
              <w:ind w:left="173" w:right="426"/>
              <w:rPr>
                <w:sz w:val="22"/>
              </w:rPr>
            </w:pPr>
            <w:r>
              <w:rPr>
                <w:sz w:val="22"/>
              </w:rPr>
              <w:t>JB provided an overview of the project stating that environmental studies are currently underway. The project has been making big steps forward following a number of design lead workshops that looked to improve both usage and connectivity. CABE are reported to be positive about the work to date.</w:t>
            </w:r>
          </w:p>
          <w:p>
            <w:pPr>
              <w:pStyle w:val="TableParagraph"/>
              <w:spacing w:before="12"/>
              <w:rPr>
                <w:sz w:val="21"/>
              </w:rPr>
            </w:pPr>
          </w:p>
          <w:p>
            <w:pPr>
              <w:pStyle w:val="TableParagraph"/>
              <w:ind w:left="173" w:right="742"/>
              <w:rPr>
                <w:sz w:val="22"/>
              </w:rPr>
            </w:pPr>
            <w:r>
              <w:rPr>
                <w:sz w:val="22"/>
              </w:rPr>
              <w:t>JB highlighted the next key steps which include finalising the design work, ground investigations and tendering contracts.</w:t>
            </w:r>
          </w:p>
          <w:p>
            <w:pPr>
              <w:pStyle w:val="TableParagraph"/>
              <w:rPr>
                <w:sz w:val="22"/>
              </w:rPr>
            </w:pPr>
          </w:p>
          <w:p>
            <w:pPr>
              <w:pStyle w:val="TableParagraph"/>
              <w:spacing w:before="1"/>
              <w:ind w:left="173" w:right="1024"/>
              <w:rPr>
                <w:sz w:val="22"/>
              </w:rPr>
            </w:pPr>
            <w:r>
              <w:rPr>
                <w:sz w:val="22"/>
              </w:rPr>
              <w:t>It was confirmed that since the last meeting Mouchel have been purchased by WSP Consultants.</w:t>
            </w:r>
          </w:p>
        </w:tc>
        <w:tc>
          <w:tcPr>
            <w:tcW w:w="979" w:type="dxa"/>
          </w:tcPr>
          <w:p>
            <w:pPr>
              <w:pStyle w:val="TableParagraph"/>
              <w:rPr>
                <w:rFonts w:ascii="Times New Roman"/>
                <w:sz w:val="22"/>
              </w:rPr>
            </w:pPr>
          </w:p>
        </w:tc>
      </w:tr>
      <w:tr>
        <w:trPr>
          <w:trHeight w:val="1074" w:hRule="atLeast"/>
        </w:trPr>
        <w:tc>
          <w:tcPr>
            <w:tcW w:w="696" w:type="dxa"/>
          </w:tcPr>
          <w:p>
            <w:pPr>
              <w:pStyle w:val="TableParagraph"/>
              <w:spacing w:before="113"/>
              <w:ind w:left="179" w:right="154"/>
              <w:jc w:val="center"/>
              <w:rPr>
                <w:b/>
                <w:sz w:val="22"/>
              </w:rPr>
            </w:pPr>
            <w:r>
              <w:rPr>
                <w:b/>
                <w:sz w:val="22"/>
              </w:rPr>
              <w:t>3.</w:t>
            </w:r>
          </w:p>
        </w:tc>
        <w:tc>
          <w:tcPr>
            <w:tcW w:w="6956" w:type="dxa"/>
            <w:vMerge w:val="restart"/>
          </w:tcPr>
          <w:p>
            <w:pPr>
              <w:pStyle w:val="TableParagraph"/>
              <w:spacing w:before="113"/>
              <w:ind w:left="173" w:right="328"/>
              <w:rPr>
                <w:sz w:val="22"/>
              </w:rPr>
            </w:pPr>
            <w:r>
              <w:rPr>
                <w:sz w:val="22"/>
              </w:rPr>
              <w:t>JB updated the group on timeframes confirming the consultation period is due to start in September 2017 ahead of the DCO submission in 2018.</w:t>
            </w:r>
          </w:p>
          <w:p>
            <w:pPr>
              <w:pStyle w:val="TableParagraph"/>
              <w:spacing w:before="1"/>
              <w:rPr>
                <w:sz w:val="22"/>
              </w:rPr>
            </w:pPr>
          </w:p>
          <w:p>
            <w:pPr>
              <w:pStyle w:val="TableParagraph"/>
              <w:ind w:left="173" w:right="571"/>
              <w:rPr>
                <w:sz w:val="22"/>
              </w:rPr>
            </w:pPr>
            <w:r>
              <w:rPr>
                <w:sz w:val="22"/>
              </w:rPr>
              <w:t>The importance of the consultation period was emphasised to the group by underlining the scrutiny given to communications by the planning inspectorate. Stakeholders were encouraged to disseminate information on consultation events as wide as possible.</w:t>
            </w:r>
          </w:p>
          <w:p>
            <w:pPr>
              <w:pStyle w:val="TableParagraph"/>
              <w:spacing w:before="10"/>
              <w:rPr>
                <w:sz w:val="21"/>
              </w:rPr>
            </w:pPr>
          </w:p>
          <w:p>
            <w:pPr>
              <w:pStyle w:val="TableParagraph"/>
              <w:spacing w:line="270" w:lineRule="atLeast"/>
              <w:ind w:left="173" w:right="508"/>
              <w:rPr>
                <w:sz w:val="22"/>
              </w:rPr>
            </w:pPr>
            <w:r>
              <w:rPr>
                <w:sz w:val="22"/>
              </w:rPr>
              <w:t>SCC confirmed that literature promoting the consultation events will also be circulated to all Councillors to help get the message as wide as possible. The group agreed that details of the reasons why further consultation is occurring to overcome any confusion to its purpose.</w:t>
            </w:r>
          </w:p>
        </w:tc>
        <w:tc>
          <w:tcPr>
            <w:tcW w:w="979" w:type="dxa"/>
          </w:tcPr>
          <w:p>
            <w:pPr>
              <w:pStyle w:val="TableParagraph"/>
              <w:rPr>
                <w:rFonts w:ascii="Times New Roman"/>
                <w:sz w:val="22"/>
              </w:rPr>
            </w:pPr>
          </w:p>
        </w:tc>
      </w:tr>
      <w:tr>
        <w:trPr>
          <w:trHeight w:val="2258" w:hRule="atLeast"/>
        </w:trPr>
        <w:tc>
          <w:tcPr>
            <w:tcW w:w="696" w:type="dxa"/>
          </w:tcPr>
          <w:p>
            <w:pPr>
              <w:pStyle w:val="TableParagraph"/>
              <w:rPr>
                <w:rFonts w:ascii="Times New Roman"/>
                <w:sz w:val="22"/>
              </w:rPr>
            </w:pPr>
          </w:p>
        </w:tc>
        <w:tc>
          <w:tcPr>
            <w:tcW w:w="6956" w:type="dxa"/>
            <w:vMerge/>
            <w:tcBorders>
              <w:top w:val="nil"/>
            </w:tcBorders>
          </w:tcPr>
          <w:p>
            <w:pPr>
              <w:rPr>
                <w:sz w:val="2"/>
                <w:szCs w:val="2"/>
              </w:rPr>
            </w:pPr>
          </w:p>
        </w:tc>
        <w:tc>
          <w:tcPr>
            <w:tcW w:w="979" w:type="dxa"/>
          </w:tcPr>
          <w:p>
            <w:pPr>
              <w:pStyle w:val="TableParagraph"/>
              <w:rPr>
                <w:sz w:val="22"/>
              </w:rPr>
            </w:pPr>
          </w:p>
          <w:p>
            <w:pPr>
              <w:pStyle w:val="TableParagraph"/>
              <w:spacing w:before="5"/>
              <w:rPr>
                <w:sz w:val="31"/>
              </w:rPr>
            </w:pPr>
          </w:p>
          <w:p>
            <w:pPr>
              <w:pStyle w:val="TableParagraph"/>
              <w:ind w:left="404"/>
              <w:rPr>
                <w:b/>
                <w:sz w:val="22"/>
              </w:rPr>
            </w:pPr>
            <w:r>
              <w:rPr>
                <w:b/>
                <w:sz w:val="22"/>
              </w:rPr>
              <w:t>ALL</w:t>
            </w:r>
          </w:p>
          <w:p>
            <w:pPr>
              <w:pStyle w:val="TableParagraph"/>
              <w:rPr>
                <w:sz w:val="22"/>
              </w:rPr>
            </w:pPr>
          </w:p>
          <w:p>
            <w:pPr>
              <w:pStyle w:val="TableParagraph"/>
              <w:rPr>
                <w:sz w:val="22"/>
              </w:rPr>
            </w:pPr>
          </w:p>
          <w:p>
            <w:pPr>
              <w:pStyle w:val="TableParagraph"/>
              <w:rPr>
                <w:sz w:val="22"/>
              </w:rPr>
            </w:pPr>
          </w:p>
          <w:p>
            <w:pPr>
              <w:pStyle w:val="TableParagraph"/>
              <w:spacing w:before="11"/>
              <w:rPr>
                <w:sz w:val="21"/>
              </w:rPr>
            </w:pPr>
          </w:p>
          <w:p>
            <w:pPr>
              <w:pStyle w:val="TableParagraph"/>
              <w:spacing w:line="245" w:lineRule="exact"/>
              <w:ind w:left="395"/>
              <w:rPr>
                <w:b/>
                <w:sz w:val="22"/>
              </w:rPr>
            </w:pPr>
            <w:r>
              <w:rPr>
                <w:b/>
                <w:sz w:val="22"/>
              </w:rPr>
              <w:t>SCC</w:t>
            </w:r>
          </w:p>
        </w:tc>
      </w:tr>
    </w:tbl>
    <w:p>
      <w:pPr>
        <w:spacing w:after="0" w:line="245" w:lineRule="exact"/>
        <w:rPr>
          <w:sz w:val="22"/>
        </w:rPr>
        <w:sectPr>
          <w:type w:val="continuous"/>
          <w:pgSz w:w="11910" w:h="16840"/>
          <w:pgMar w:top="1060" w:bottom="280" w:left="1340" w:right="1360"/>
        </w:sectPr>
      </w:pPr>
    </w:p>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
        <w:gridCol w:w="7008"/>
        <w:gridCol w:w="883"/>
      </w:tblGrid>
      <w:tr>
        <w:trPr>
          <w:trHeight w:val="915" w:hRule="atLeast"/>
        </w:trPr>
        <w:tc>
          <w:tcPr>
            <w:tcW w:w="584" w:type="dxa"/>
          </w:tcPr>
          <w:p>
            <w:pPr>
              <w:pStyle w:val="TableParagraph"/>
              <w:rPr>
                <w:rFonts w:ascii="Times New Roman"/>
                <w:sz w:val="22"/>
              </w:rPr>
            </w:pPr>
          </w:p>
        </w:tc>
        <w:tc>
          <w:tcPr>
            <w:tcW w:w="7008" w:type="dxa"/>
          </w:tcPr>
          <w:p>
            <w:pPr>
              <w:pStyle w:val="TableParagraph"/>
              <w:spacing w:line="225" w:lineRule="exact"/>
              <w:ind w:left="211"/>
              <w:rPr>
                <w:sz w:val="22"/>
              </w:rPr>
            </w:pPr>
            <w:r>
              <w:rPr>
                <w:sz w:val="22"/>
              </w:rPr>
              <w:t>JB confirmed he will be bringing the consultation displays for the</w:t>
            </w:r>
          </w:p>
          <w:p>
            <w:pPr>
              <w:pStyle w:val="TableParagraph"/>
              <w:ind w:left="211" w:right="631"/>
              <w:rPr>
                <w:sz w:val="22"/>
              </w:rPr>
            </w:pPr>
            <w:r>
              <w:rPr>
                <w:sz w:val="22"/>
              </w:rPr>
              <w:t>stakeholders to view at the next meeting. Both ground floor meeting rooms will need to be secured.</w:t>
            </w:r>
          </w:p>
        </w:tc>
        <w:tc>
          <w:tcPr>
            <w:tcW w:w="883" w:type="dxa"/>
          </w:tcPr>
          <w:p>
            <w:pPr>
              <w:pStyle w:val="TableParagraph"/>
              <w:rPr>
                <w:sz w:val="22"/>
              </w:rPr>
            </w:pPr>
          </w:p>
          <w:p>
            <w:pPr>
              <w:pStyle w:val="TableParagraph"/>
              <w:spacing w:before="5"/>
              <w:rPr>
                <w:sz w:val="18"/>
              </w:rPr>
            </w:pPr>
          </w:p>
          <w:p>
            <w:pPr>
              <w:pStyle w:val="TableParagraph"/>
              <w:spacing w:before="1"/>
              <w:ind w:right="198"/>
              <w:jc w:val="right"/>
              <w:rPr>
                <w:b/>
                <w:sz w:val="22"/>
              </w:rPr>
            </w:pPr>
            <w:r>
              <w:rPr>
                <w:b/>
                <w:sz w:val="22"/>
              </w:rPr>
              <w:t>GB</w:t>
            </w:r>
          </w:p>
        </w:tc>
      </w:tr>
      <w:tr>
        <w:trPr>
          <w:trHeight w:val="805" w:hRule="atLeast"/>
        </w:trPr>
        <w:tc>
          <w:tcPr>
            <w:tcW w:w="584" w:type="dxa"/>
          </w:tcPr>
          <w:p>
            <w:pPr>
              <w:pStyle w:val="TableParagraph"/>
              <w:spacing w:before="113"/>
              <w:ind w:left="182" w:right="191"/>
              <w:jc w:val="center"/>
              <w:rPr>
                <w:b/>
                <w:sz w:val="22"/>
              </w:rPr>
            </w:pPr>
            <w:r>
              <w:rPr>
                <w:b/>
                <w:sz w:val="22"/>
              </w:rPr>
              <w:t>4.</w:t>
            </w:r>
          </w:p>
        </w:tc>
        <w:tc>
          <w:tcPr>
            <w:tcW w:w="7008" w:type="dxa"/>
          </w:tcPr>
          <w:p>
            <w:pPr>
              <w:pStyle w:val="TableParagraph"/>
              <w:spacing w:before="113"/>
              <w:ind w:left="211" w:right="383"/>
              <w:rPr>
                <w:sz w:val="22"/>
              </w:rPr>
            </w:pPr>
            <w:r>
              <w:rPr>
                <w:sz w:val="22"/>
              </w:rPr>
              <w:t>JB confirmed there are no changes to the risk register as they are phase dependant but would continue to keep the group updated.</w:t>
            </w:r>
          </w:p>
        </w:tc>
        <w:tc>
          <w:tcPr>
            <w:tcW w:w="883" w:type="dxa"/>
          </w:tcPr>
          <w:p>
            <w:pPr>
              <w:pStyle w:val="TableParagraph"/>
              <w:rPr>
                <w:rFonts w:ascii="Times New Roman"/>
                <w:sz w:val="22"/>
              </w:rPr>
            </w:pPr>
          </w:p>
        </w:tc>
      </w:tr>
      <w:tr>
        <w:trPr>
          <w:trHeight w:val="1208" w:hRule="atLeast"/>
        </w:trPr>
        <w:tc>
          <w:tcPr>
            <w:tcW w:w="584" w:type="dxa"/>
          </w:tcPr>
          <w:p>
            <w:pPr>
              <w:pStyle w:val="TableParagraph"/>
              <w:spacing w:before="114"/>
              <w:ind w:left="182" w:right="191"/>
              <w:jc w:val="center"/>
              <w:rPr>
                <w:b/>
                <w:sz w:val="22"/>
              </w:rPr>
            </w:pPr>
            <w:r>
              <w:rPr>
                <w:b/>
                <w:sz w:val="22"/>
              </w:rPr>
              <w:t>5.</w:t>
            </w:r>
          </w:p>
        </w:tc>
        <w:tc>
          <w:tcPr>
            <w:tcW w:w="7008" w:type="dxa"/>
            <w:vMerge w:val="restart"/>
          </w:tcPr>
          <w:p>
            <w:pPr>
              <w:pStyle w:val="TableParagraph"/>
              <w:spacing w:before="114"/>
              <w:ind w:left="211" w:right="402"/>
              <w:rPr>
                <w:sz w:val="22"/>
              </w:rPr>
            </w:pPr>
            <w:r>
              <w:rPr>
                <w:sz w:val="22"/>
              </w:rPr>
              <w:t>JB read a statement from Network Rail who were unable to attend the meeting which stated their supportive of the project and communication between both parties is positive. The design criteria for the heights over the railway have now been agreed and investigation into freight opportunities is being undertaken.</w:t>
            </w:r>
          </w:p>
          <w:p>
            <w:pPr>
              <w:pStyle w:val="TableParagraph"/>
              <w:spacing w:before="11"/>
              <w:rPr>
                <w:sz w:val="21"/>
              </w:rPr>
            </w:pPr>
          </w:p>
          <w:p>
            <w:pPr>
              <w:pStyle w:val="TableParagraph"/>
              <w:spacing w:before="1"/>
              <w:ind w:left="211"/>
              <w:rPr>
                <w:sz w:val="22"/>
              </w:rPr>
            </w:pPr>
            <w:r>
              <w:rPr>
                <w:sz w:val="22"/>
              </w:rPr>
              <w:t>JF raised the issue of engaging with Network Rail’s scaffolding team to</w:t>
            </w:r>
          </w:p>
          <w:p>
            <w:pPr>
              <w:pStyle w:val="TableParagraph"/>
              <w:ind w:left="211"/>
              <w:rPr>
                <w:sz w:val="22"/>
              </w:rPr>
            </w:pPr>
            <w:r>
              <w:rPr>
                <w:sz w:val="22"/>
              </w:rPr>
              <w:t>overcome any future potential delays. JB to make contact.</w:t>
            </w:r>
          </w:p>
        </w:tc>
        <w:tc>
          <w:tcPr>
            <w:tcW w:w="883" w:type="dxa"/>
          </w:tcPr>
          <w:p>
            <w:pPr>
              <w:pStyle w:val="TableParagraph"/>
              <w:rPr>
                <w:rFonts w:ascii="Times New Roman"/>
                <w:sz w:val="22"/>
              </w:rPr>
            </w:pPr>
          </w:p>
        </w:tc>
      </w:tr>
      <w:tr>
        <w:trPr>
          <w:trHeight w:val="1208" w:hRule="atLeast"/>
        </w:trPr>
        <w:tc>
          <w:tcPr>
            <w:tcW w:w="584" w:type="dxa"/>
          </w:tcPr>
          <w:p>
            <w:pPr>
              <w:pStyle w:val="TableParagraph"/>
              <w:rPr>
                <w:rFonts w:ascii="Times New Roman"/>
                <w:sz w:val="22"/>
              </w:rPr>
            </w:pPr>
          </w:p>
        </w:tc>
        <w:tc>
          <w:tcPr>
            <w:tcW w:w="7008" w:type="dxa"/>
            <w:vMerge/>
            <w:tcBorders>
              <w:top w:val="nil"/>
            </w:tcBorders>
          </w:tcPr>
          <w:p>
            <w:pPr>
              <w:rPr>
                <w:sz w:val="2"/>
                <w:szCs w:val="2"/>
              </w:rPr>
            </w:pPr>
          </w:p>
        </w:tc>
        <w:tc>
          <w:tcPr>
            <w:tcW w:w="883" w:type="dxa"/>
          </w:tcPr>
          <w:p>
            <w:pPr>
              <w:pStyle w:val="TableParagraph"/>
              <w:rPr>
                <w:sz w:val="22"/>
              </w:rPr>
            </w:pPr>
          </w:p>
          <w:p>
            <w:pPr>
              <w:pStyle w:val="TableParagraph"/>
              <w:rPr>
                <w:sz w:val="22"/>
              </w:rPr>
            </w:pPr>
          </w:p>
          <w:p>
            <w:pPr>
              <w:pStyle w:val="TableParagraph"/>
              <w:spacing w:before="4"/>
              <w:rPr>
                <w:sz w:val="20"/>
              </w:rPr>
            </w:pPr>
          </w:p>
          <w:p>
            <w:pPr>
              <w:pStyle w:val="TableParagraph"/>
              <w:ind w:right="236"/>
              <w:jc w:val="right"/>
              <w:rPr>
                <w:b/>
                <w:sz w:val="22"/>
              </w:rPr>
            </w:pPr>
            <w:r>
              <w:rPr>
                <w:b/>
                <w:sz w:val="22"/>
              </w:rPr>
              <w:t>JB</w:t>
            </w:r>
          </w:p>
        </w:tc>
      </w:tr>
      <w:tr>
        <w:trPr>
          <w:trHeight w:val="1613" w:hRule="atLeast"/>
        </w:trPr>
        <w:tc>
          <w:tcPr>
            <w:tcW w:w="584" w:type="dxa"/>
          </w:tcPr>
          <w:p>
            <w:pPr>
              <w:pStyle w:val="TableParagraph"/>
              <w:spacing w:before="115"/>
              <w:ind w:left="182" w:right="191"/>
              <w:jc w:val="center"/>
              <w:rPr>
                <w:b/>
                <w:sz w:val="22"/>
              </w:rPr>
            </w:pPr>
            <w:r>
              <w:rPr>
                <w:b/>
                <w:sz w:val="22"/>
              </w:rPr>
              <w:t>6.</w:t>
            </w:r>
          </w:p>
        </w:tc>
        <w:tc>
          <w:tcPr>
            <w:tcW w:w="7008" w:type="dxa"/>
          </w:tcPr>
          <w:p>
            <w:pPr>
              <w:pStyle w:val="TableParagraph"/>
              <w:spacing w:before="115"/>
              <w:ind w:left="211" w:right="459"/>
              <w:rPr>
                <w:sz w:val="22"/>
              </w:rPr>
            </w:pPr>
            <w:r>
              <w:rPr>
                <w:sz w:val="22"/>
              </w:rPr>
              <w:t>JB confirmed that tendering is due to commence in September for a design and build contract. The group felt that whilst the tender market was strong, big opportunities are available through local supply chain and linked skills initiatives. JB confirmed that these items are being investigated as part of the tendering package.</w:t>
            </w:r>
          </w:p>
        </w:tc>
        <w:tc>
          <w:tcPr>
            <w:tcW w:w="883" w:type="dxa"/>
          </w:tcPr>
          <w:p>
            <w:pPr>
              <w:pStyle w:val="TableParagraph"/>
              <w:rPr>
                <w:rFonts w:ascii="Times New Roman"/>
                <w:sz w:val="22"/>
              </w:rPr>
            </w:pPr>
          </w:p>
        </w:tc>
      </w:tr>
      <w:tr>
        <w:trPr>
          <w:trHeight w:val="401" w:hRule="atLeast"/>
        </w:trPr>
        <w:tc>
          <w:tcPr>
            <w:tcW w:w="584" w:type="dxa"/>
          </w:tcPr>
          <w:p>
            <w:pPr>
              <w:pStyle w:val="TableParagraph"/>
              <w:spacing w:line="267" w:lineRule="exact" w:before="114"/>
              <w:ind w:left="182" w:right="191"/>
              <w:jc w:val="center"/>
              <w:rPr>
                <w:b/>
                <w:sz w:val="22"/>
              </w:rPr>
            </w:pPr>
            <w:r>
              <w:rPr>
                <w:b/>
                <w:sz w:val="22"/>
              </w:rPr>
              <w:t>7.</w:t>
            </w:r>
          </w:p>
        </w:tc>
        <w:tc>
          <w:tcPr>
            <w:tcW w:w="7008" w:type="dxa"/>
            <w:vMerge w:val="restart"/>
          </w:tcPr>
          <w:p>
            <w:pPr>
              <w:pStyle w:val="TableParagraph"/>
              <w:spacing w:line="266" w:lineRule="exact" w:before="111"/>
              <w:ind w:left="211" w:right="408"/>
              <w:rPr>
                <w:sz w:val="22"/>
              </w:rPr>
            </w:pPr>
            <w:r>
              <w:rPr>
                <w:sz w:val="22"/>
              </w:rPr>
              <w:t>The Economic Regeneration team will circulate future meeting dates to the group.</w:t>
            </w:r>
          </w:p>
        </w:tc>
        <w:tc>
          <w:tcPr>
            <w:tcW w:w="883" w:type="dxa"/>
          </w:tcPr>
          <w:p>
            <w:pPr>
              <w:pStyle w:val="TableParagraph"/>
              <w:rPr>
                <w:rFonts w:ascii="Times New Roman"/>
                <w:sz w:val="22"/>
              </w:rPr>
            </w:pPr>
          </w:p>
        </w:tc>
      </w:tr>
      <w:tr>
        <w:trPr>
          <w:trHeight w:val="243" w:hRule="atLeast"/>
        </w:trPr>
        <w:tc>
          <w:tcPr>
            <w:tcW w:w="584" w:type="dxa"/>
          </w:tcPr>
          <w:p>
            <w:pPr>
              <w:pStyle w:val="TableParagraph"/>
              <w:rPr>
                <w:rFonts w:ascii="Times New Roman"/>
                <w:sz w:val="16"/>
              </w:rPr>
            </w:pPr>
          </w:p>
        </w:tc>
        <w:tc>
          <w:tcPr>
            <w:tcW w:w="7008" w:type="dxa"/>
            <w:vMerge/>
            <w:tcBorders>
              <w:top w:val="nil"/>
            </w:tcBorders>
          </w:tcPr>
          <w:p>
            <w:pPr>
              <w:rPr>
                <w:sz w:val="2"/>
                <w:szCs w:val="2"/>
              </w:rPr>
            </w:pPr>
          </w:p>
        </w:tc>
        <w:tc>
          <w:tcPr>
            <w:tcW w:w="883" w:type="dxa"/>
          </w:tcPr>
          <w:p>
            <w:pPr>
              <w:pStyle w:val="TableParagraph"/>
              <w:spacing w:line="224" w:lineRule="exact"/>
              <w:ind w:right="198"/>
              <w:jc w:val="right"/>
              <w:rPr>
                <w:b/>
                <w:sz w:val="22"/>
              </w:rPr>
            </w:pPr>
            <w:r>
              <w:rPr>
                <w:b/>
                <w:sz w:val="22"/>
              </w:rPr>
              <w:t>GB</w:t>
            </w:r>
          </w:p>
        </w:tc>
      </w:tr>
    </w:tbl>
    <w:sectPr>
      <w:pgSz w:w="11910" w:h="16840"/>
      <w:pgMar w:top="11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Bellward</dc:creator>
  <dcterms:created xsi:type="dcterms:W3CDTF">2021-01-06T10:07:31Z</dcterms:created>
  <dcterms:modified xsi:type="dcterms:W3CDTF">2021-01-06T10:07:31Z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2021-01-06T00:00:00Z</vt:filetime>
  </property>
</Properties>
</file>